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57"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4820"/>
        <w:gridCol w:w="2836"/>
        <w:gridCol w:w="2693"/>
      </w:tblGrid>
      <w:tr w:rsidR="00CA7085" w:rsidRPr="00D27707">
        <w:trPr>
          <w:trHeight w:val="382"/>
        </w:trPr>
        <w:tc>
          <w:tcPr>
            <w:tcW w:w="482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rsidP="008D4590">
            <w:pPr>
              <w:pStyle w:val="Contenidodelatabla"/>
              <w:rPr>
                <w:rFonts w:ascii="Arial" w:hAnsi="Arial" w:cs="Arial"/>
                <w:sz w:val="20"/>
              </w:rPr>
            </w:pPr>
            <w:r w:rsidRPr="00D27707">
              <w:rPr>
                <w:rFonts w:ascii="Arial" w:hAnsi="Arial" w:cs="Arial"/>
                <w:sz w:val="20"/>
              </w:rPr>
              <w:t>No. DE ACTA:</w:t>
            </w:r>
            <w:r w:rsidRPr="00D27707">
              <w:rPr>
                <w:rFonts w:ascii="Arial" w:hAnsi="Arial" w:cs="Arial"/>
                <w:sz w:val="20"/>
              </w:rPr>
              <w:tab/>
            </w:r>
          </w:p>
        </w:tc>
        <w:tc>
          <w:tcPr>
            <w:tcW w:w="5529" w:type="dxa"/>
            <w:gridSpan w:val="2"/>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rPr>
                <w:rFonts w:ascii="Arial" w:hAnsi="Arial" w:cs="Arial"/>
                <w:sz w:val="20"/>
              </w:rPr>
            </w:pPr>
            <w:r w:rsidRPr="00D27707">
              <w:rPr>
                <w:rFonts w:ascii="Arial" w:hAnsi="Arial" w:cs="Arial"/>
                <w:b/>
                <w:sz w:val="20"/>
              </w:rPr>
              <w:t xml:space="preserve">FECHA: </w:t>
            </w:r>
            <w:r w:rsidR="00CB372B" w:rsidRPr="00D27707">
              <w:rPr>
                <w:rFonts w:ascii="Arial" w:hAnsi="Arial" w:cs="Arial"/>
                <w:sz w:val="20"/>
              </w:rPr>
              <w:t>23</w:t>
            </w:r>
            <w:r w:rsidR="00E532D5" w:rsidRPr="00D27707">
              <w:rPr>
                <w:rFonts w:ascii="Arial" w:hAnsi="Arial" w:cs="Arial"/>
                <w:sz w:val="20"/>
              </w:rPr>
              <w:t>/03</w:t>
            </w:r>
            <w:r w:rsidRPr="00D27707">
              <w:rPr>
                <w:rFonts w:ascii="Arial" w:hAnsi="Arial" w:cs="Arial"/>
                <w:sz w:val="20"/>
              </w:rPr>
              <w:t>/2018</w:t>
            </w:r>
          </w:p>
        </w:tc>
      </w:tr>
      <w:tr w:rsidR="00CA7085" w:rsidRPr="00D27707">
        <w:trPr>
          <w:trHeight w:val="382"/>
        </w:trPr>
        <w:tc>
          <w:tcPr>
            <w:tcW w:w="482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rsidP="00AD03AF">
            <w:pPr>
              <w:rPr>
                <w:rFonts w:ascii="Arial" w:hAnsi="Arial" w:cs="Arial"/>
                <w:sz w:val="20"/>
              </w:rPr>
            </w:pPr>
            <w:r w:rsidRPr="00D27707">
              <w:rPr>
                <w:rFonts w:ascii="Arial" w:hAnsi="Arial" w:cs="Arial"/>
                <w:b/>
                <w:sz w:val="20"/>
              </w:rPr>
              <w:t>REUNIÓN</w:t>
            </w:r>
            <w:r w:rsidR="007F3EF6" w:rsidRPr="00D27707">
              <w:rPr>
                <w:rFonts w:ascii="Arial" w:hAnsi="Arial" w:cs="Arial"/>
                <w:b/>
                <w:sz w:val="20"/>
              </w:rPr>
              <w:t xml:space="preserve">: </w:t>
            </w:r>
            <w:r w:rsidR="007F3EF6" w:rsidRPr="00D27707">
              <w:rPr>
                <w:rFonts w:ascii="Arial" w:hAnsi="Arial" w:cs="Arial"/>
                <w:sz w:val="20"/>
              </w:rPr>
              <w:t>COMITÉ</w:t>
            </w:r>
            <w:r w:rsidRPr="00D27707">
              <w:rPr>
                <w:rFonts w:ascii="Arial" w:hAnsi="Arial" w:cs="Arial"/>
                <w:sz w:val="20"/>
              </w:rPr>
              <w:t xml:space="preserve"> DE VIGILANCIA EPIDEMIOLOGICO LOCALIDAD </w:t>
            </w:r>
            <w:r w:rsidR="00CB372B" w:rsidRPr="00D27707">
              <w:rPr>
                <w:rFonts w:ascii="Arial" w:hAnsi="Arial" w:cs="Arial"/>
                <w:sz w:val="20"/>
              </w:rPr>
              <w:t>SUBA</w:t>
            </w:r>
          </w:p>
        </w:tc>
        <w:tc>
          <w:tcPr>
            <w:tcW w:w="2836"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rPr>
                <w:rFonts w:ascii="Arial" w:hAnsi="Arial" w:cs="Arial"/>
                <w:b/>
                <w:sz w:val="20"/>
              </w:rPr>
            </w:pPr>
            <w:r w:rsidRPr="00D27707">
              <w:rPr>
                <w:rFonts w:ascii="Arial" w:hAnsi="Arial" w:cs="Arial"/>
                <w:b/>
                <w:sz w:val="20"/>
              </w:rPr>
              <w:t xml:space="preserve">HORA DE INICIO: </w:t>
            </w:r>
            <w:r w:rsidRPr="00D27707">
              <w:rPr>
                <w:rFonts w:ascii="Arial" w:hAnsi="Arial" w:cs="Arial"/>
                <w:sz w:val="20"/>
              </w:rPr>
              <w:t>8:00AM</w:t>
            </w:r>
          </w:p>
        </w:tc>
        <w:tc>
          <w:tcPr>
            <w:tcW w:w="2693"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rPr>
                <w:rFonts w:ascii="Arial" w:hAnsi="Arial" w:cs="Arial"/>
                <w:b/>
                <w:sz w:val="20"/>
              </w:rPr>
            </w:pPr>
            <w:r w:rsidRPr="00D27707">
              <w:rPr>
                <w:rFonts w:ascii="Arial" w:hAnsi="Arial" w:cs="Arial"/>
                <w:b/>
                <w:sz w:val="20"/>
              </w:rPr>
              <w:t xml:space="preserve">FINALIZO: </w:t>
            </w:r>
            <w:r w:rsidRPr="00D27707">
              <w:rPr>
                <w:rFonts w:ascii="Arial" w:hAnsi="Arial" w:cs="Arial"/>
                <w:sz w:val="20"/>
              </w:rPr>
              <w:t>12:00M</w:t>
            </w:r>
          </w:p>
        </w:tc>
      </w:tr>
    </w:tbl>
    <w:p w:rsidR="00CA7085" w:rsidRPr="00D27707" w:rsidRDefault="00CA7085">
      <w:pPr>
        <w:jc w:val="both"/>
        <w:rPr>
          <w:rFonts w:ascii="Arial" w:hAnsi="Arial" w:cs="Arial"/>
          <w:sz w:val="20"/>
        </w:rPr>
      </w:pPr>
    </w:p>
    <w:tbl>
      <w:tblPr>
        <w:tblW w:w="10349" w:type="dxa"/>
        <w:tblInd w:w="-357"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3449"/>
        <w:gridCol w:w="3450"/>
        <w:gridCol w:w="3450"/>
      </w:tblGrid>
      <w:tr w:rsidR="00CA7085" w:rsidRPr="00D27707">
        <w:trPr>
          <w:trHeight w:val="382"/>
        </w:trPr>
        <w:tc>
          <w:tcPr>
            <w:tcW w:w="10349"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rPr>
                <w:rFonts w:ascii="Arial" w:hAnsi="Arial" w:cs="Arial"/>
                <w:sz w:val="20"/>
              </w:rPr>
            </w:pPr>
            <w:r w:rsidRPr="00D27707">
              <w:rPr>
                <w:rFonts w:ascii="Arial" w:hAnsi="Arial" w:cs="Arial"/>
                <w:b/>
                <w:sz w:val="20"/>
              </w:rPr>
              <w:t>ASISTENTES</w:t>
            </w:r>
          </w:p>
        </w:tc>
      </w:tr>
      <w:tr w:rsidR="00CA7085" w:rsidRPr="00D27707">
        <w:trPr>
          <w:trHeight w:val="357"/>
        </w:trPr>
        <w:tc>
          <w:tcPr>
            <w:tcW w:w="3449"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jc w:val="center"/>
              <w:rPr>
                <w:rFonts w:ascii="Arial" w:hAnsi="Arial" w:cs="Arial"/>
                <w:b/>
                <w:sz w:val="20"/>
              </w:rPr>
            </w:pPr>
            <w:r w:rsidRPr="00D27707">
              <w:rPr>
                <w:rFonts w:ascii="Arial" w:hAnsi="Arial" w:cs="Arial"/>
                <w:b/>
                <w:sz w:val="20"/>
              </w:rPr>
              <w:t>NOMBRE</w:t>
            </w:r>
          </w:p>
        </w:tc>
        <w:tc>
          <w:tcPr>
            <w:tcW w:w="345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jc w:val="center"/>
              <w:rPr>
                <w:rFonts w:ascii="Arial" w:hAnsi="Arial" w:cs="Arial"/>
                <w:b/>
                <w:sz w:val="20"/>
              </w:rPr>
            </w:pPr>
            <w:r w:rsidRPr="00D27707">
              <w:rPr>
                <w:rFonts w:ascii="Arial" w:hAnsi="Arial" w:cs="Arial"/>
                <w:b/>
                <w:sz w:val="20"/>
              </w:rPr>
              <w:t>CARGO</w:t>
            </w:r>
          </w:p>
        </w:tc>
        <w:tc>
          <w:tcPr>
            <w:tcW w:w="345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jc w:val="center"/>
              <w:rPr>
                <w:rFonts w:ascii="Arial" w:hAnsi="Arial" w:cs="Arial"/>
                <w:b/>
                <w:sz w:val="20"/>
              </w:rPr>
            </w:pPr>
            <w:r w:rsidRPr="00D27707">
              <w:rPr>
                <w:rFonts w:ascii="Arial" w:hAnsi="Arial" w:cs="Arial"/>
                <w:b/>
                <w:sz w:val="20"/>
              </w:rPr>
              <w:t>ENTIDAD</w:t>
            </w:r>
          </w:p>
        </w:tc>
      </w:tr>
      <w:tr w:rsidR="00AD03AF" w:rsidRPr="00D27707">
        <w:trPr>
          <w:trHeight w:val="355"/>
        </w:trPr>
        <w:tc>
          <w:tcPr>
            <w:tcW w:w="3449" w:type="dxa"/>
            <w:tcBorders>
              <w:top w:val="double" w:sz="4" w:space="0" w:color="00000A"/>
              <w:left w:val="double" w:sz="4" w:space="0" w:color="00000A"/>
              <w:bottom w:val="single" w:sz="4" w:space="0" w:color="00000A"/>
              <w:right w:val="single" w:sz="4" w:space="0" w:color="00000A"/>
            </w:tcBorders>
            <w:shd w:val="clear" w:color="auto" w:fill="auto"/>
            <w:tcMar>
              <w:left w:w="69" w:type="dxa"/>
            </w:tcMar>
          </w:tcPr>
          <w:p w:rsidR="00AD03AF" w:rsidRPr="00D27707" w:rsidRDefault="00E532D5" w:rsidP="0077130A">
            <w:pPr>
              <w:rPr>
                <w:rFonts w:ascii="Arial" w:hAnsi="Arial" w:cs="Arial"/>
                <w:sz w:val="20"/>
              </w:rPr>
            </w:pPr>
            <w:r w:rsidRPr="00D27707">
              <w:rPr>
                <w:rFonts w:ascii="Arial" w:hAnsi="Arial" w:cs="Arial"/>
                <w:sz w:val="20"/>
              </w:rPr>
              <w:t>Se anexa listado de asistencia</w:t>
            </w:r>
          </w:p>
        </w:tc>
        <w:tc>
          <w:tcPr>
            <w:tcW w:w="3450" w:type="dxa"/>
            <w:tcBorders>
              <w:top w:val="double" w:sz="4" w:space="0" w:color="00000A"/>
              <w:left w:val="single" w:sz="4" w:space="0" w:color="00000A"/>
              <w:bottom w:val="single" w:sz="4" w:space="0" w:color="00000A"/>
              <w:right w:val="single" w:sz="4" w:space="0" w:color="00000A"/>
            </w:tcBorders>
            <w:shd w:val="clear" w:color="auto" w:fill="auto"/>
            <w:tcMar>
              <w:left w:w="79" w:type="dxa"/>
            </w:tcMar>
          </w:tcPr>
          <w:p w:rsidR="00AD03AF" w:rsidRPr="00D27707" w:rsidRDefault="00AD03AF" w:rsidP="0077130A">
            <w:pPr>
              <w:rPr>
                <w:rFonts w:ascii="Arial" w:hAnsi="Arial" w:cs="Arial"/>
                <w:sz w:val="20"/>
              </w:rPr>
            </w:pPr>
          </w:p>
        </w:tc>
        <w:tc>
          <w:tcPr>
            <w:tcW w:w="3450" w:type="dxa"/>
            <w:tcBorders>
              <w:top w:val="double" w:sz="4" w:space="0" w:color="00000A"/>
              <w:left w:val="single" w:sz="4" w:space="0" w:color="00000A"/>
              <w:bottom w:val="single" w:sz="4" w:space="0" w:color="00000A"/>
              <w:right w:val="double" w:sz="4" w:space="0" w:color="00000A"/>
            </w:tcBorders>
            <w:shd w:val="clear" w:color="auto" w:fill="auto"/>
            <w:tcMar>
              <w:left w:w="79" w:type="dxa"/>
            </w:tcMar>
          </w:tcPr>
          <w:p w:rsidR="00AD03AF" w:rsidRPr="00D27707" w:rsidRDefault="00AD03AF" w:rsidP="0077130A">
            <w:pPr>
              <w:rPr>
                <w:rFonts w:ascii="Arial" w:hAnsi="Arial" w:cs="Arial"/>
                <w:sz w:val="20"/>
              </w:rPr>
            </w:pPr>
          </w:p>
        </w:tc>
      </w:tr>
      <w:tr w:rsidR="00AD03AF" w:rsidRPr="00D27707">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AD03AF" w:rsidRPr="00D27707" w:rsidRDefault="00AD03AF" w:rsidP="0077130A">
            <w:pPr>
              <w:rPr>
                <w:rFonts w:ascii="Arial" w:hAnsi="Arial" w:cs="Arial"/>
                <w:sz w:val="20"/>
              </w:rPr>
            </w:pPr>
          </w:p>
        </w:tc>
      </w:tr>
      <w:tr w:rsidR="00AD03AF" w:rsidRPr="00D27707">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AD03AF" w:rsidRPr="00D27707" w:rsidRDefault="00AD03AF" w:rsidP="0077130A">
            <w:pPr>
              <w:rPr>
                <w:rFonts w:ascii="Arial" w:hAnsi="Arial" w:cs="Arial"/>
                <w:sz w:val="20"/>
              </w:rPr>
            </w:pPr>
          </w:p>
        </w:tc>
      </w:tr>
      <w:tr w:rsidR="00AD03AF" w:rsidRPr="00D27707">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AD03AF" w:rsidRPr="00D27707" w:rsidRDefault="00AD03AF" w:rsidP="0077130A">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AD03AF" w:rsidRPr="00D27707" w:rsidRDefault="00AD03AF" w:rsidP="0077130A">
            <w:pPr>
              <w:rPr>
                <w:rFonts w:ascii="Arial" w:hAnsi="Arial" w:cs="Arial"/>
                <w:sz w:val="20"/>
              </w:rPr>
            </w:pPr>
          </w:p>
        </w:tc>
      </w:tr>
      <w:tr w:rsidR="0010013C" w:rsidRPr="00D27707">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10013C" w:rsidRPr="00D27707" w:rsidRDefault="0010013C" w:rsidP="0010013C">
            <w:pPr>
              <w:rPr>
                <w:rFonts w:ascii="Arial" w:hAnsi="Arial" w:cs="Arial"/>
                <w:sz w:val="20"/>
              </w:rPr>
            </w:pPr>
            <w:bookmarkStart w:id="0" w:name="__DdeLink__1556_1253553969"/>
            <w:bookmarkEnd w:id="0"/>
          </w:p>
        </w:tc>
      </w:tr>
      <w:tr w:rsidR="0010013C" w:rsidRPr="00D27707">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10013C" w:rsidRPr="00D27707" w:rsidRDefault="0010013C" w:rsidP="0010013C">
            <w:pPr>
              <w:rPr>
                <w:rFonts w:ascii="Arial" w:hAnsi="Arial" w:cs="Arial"/>
                <w:sz w:val="20"/>
              </w:rPr>
            </w:pPr>
          </w:p>
        </w:tc>
      </w:tr>
      <w:tr w:rsidR="0010013C" w:rsidRPr="00D27707">
        <w:trPr>
          <w:trHeight w:val="355"/>
        </w:trPr>
        <w:tc>
          <w:tcPr>
            <w:tcW w:w="3449" w:type="dxa"/>
            <w:tcBorders>
              <w:top w:val="single" w:sz="4" w:space="0" w:color="00000A"/>
              <w:left w:val="double" w:sz="4" w:space="0" w:color="00000A"/>
              <w:bottom w:val="double" w:sz="4" w:space="0" w:color="00000A"/>
              <w:right w:val="single" w:sz="4" w:space="0" w:color="00000A"/>
            </w:tcBorders>
            <w:shd w:val="clear" w:color="auto" w:fill="auto"/>
            <w:tcMar>
              <w:left w:w="6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double" w:sz="4" w:space="0" w:color="00000A"/>
              <w:right w:val="single" w:sz="4" w:space="0" w:color="00000A"/>
            </w:tcBorders>
            <w:shd w:val="clear" w:color="auto" w:fill="auto"/>
            <w:tcMar>
              <w:left w:w="79" w:type="dxa"/>
            </w:tcMar>
          </w:tcPr>
          <w:p w:rsidR="0010013C" w:rsidRPr="00D27707" w:rsidRDefault="0010013C" w:rsidP="0010013C">
            <w:pPr>
              <w:rPr>
                <w:rFonts w:ascii="Arial" w:hAnsi="Arial" w:cs="Arial"/>
                <w:sz w:val="20"/>
              </w:rPr>
            </w:pPr>
          </w:p>
        </w:tc>
        <w:tc>
          <w:tcPr>
            <w:tcW w:w="3450" w:type="dxa"/>
            <w:tcBorders>
              <w:top w:val="single" w:sz="4" w:space="0" w:color="00000A"/>
              <w:left w:val="single" w:sz="4" w:space="0" w:color="00000A"/>
              <w:bottom w:val="double" w:sz="4" w:space="0" w:color="00000A"/>
              <w:right w:val="double" w:sz="4" w:space="0" w:color="00000A"/>
            </w:tcBorders>
            <w:shd w:val="clear" w:color="auto" w:fill="auto"/>
            <w:tcMar>
              <w:left w:w="79" w:type="dxa"/>
            </w:tcMar>
          </w:tcPr>
          <w:p w:rsidR="0010013C" w:rsidRPr="00D27707" w:rsidRDefault="0010013C" w:rsidP="0010013C">
            <w:pPr>
              <w:rPr>
                <w:rFonts w:ascii="Arial" w:hAnsi="Arial" w:cs="Arial"/>
                <w:sz w:val="20"/>
              </w:rPr>
            </w:pPr>
          </w:p>
        </w:tc>
      </w:tr>
    </w:tbl>
    <w:p w:rsidR="00CA7085" w:rsidRPr="00D27707" w:rsidRDefault="00CA7085">
      <w:pPr>
        <w:jc w:val="both"/>
        <w:rPr>
          <w:rFonts w:ascii="Arial" w:hAnsi="Arial" w:cs="Arial"/>
          <w:sz w:val="20"/>
        </w:rPr>
      </w:pPr>
    </w:p>
    <w:tbl>
      <w:tblPr>
        <w:tblW w:w="10349" w:type="dxa"/>
        <w:tblInd w:w="-357"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10349"/>
      </w:tblGrid>
      <w:tr w:rsidR="00CA7085" w:rsidRPr="00D27707">
        <w:trPr>
          <w:trHeight w:val="382"/>
        </w:trPr>
        <w:tc>
          <w:tcPr>
            <w:tcW w:w="10349" w:type="dxa"/>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rPr>
                <w:rFonts w:ascii="Arial" w:hAnsi="Arial" w:cs="Arial"/>
                <w:sz w:val="20"/>
              </w:rPr>
            </w:pPr>
            <w:r w:rsidRPr="00D27707">
              <w:rPr>
                <w:rFonts w:ascii="Arial" w:hAnsi="Arial" w:cs="Arial"/>
                <w:b/>
                <w:sz w:val="20"/>
              </w:rPr>
              <w:t>ORDEN DEL DÍA</w:t>
            </w:r>
          </w:p>
        </w:tc>
      </w:tr>
      <w:tr w:rsidR="00CA7085" w:rsidRPr="00D27707">
        <w:trPr>
          <w:trHeight w:val="558"/>
        </w:trPr>
        <w:tc>
          <w:tcPr>
            <w:tcW w:w="10349"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bCs/>
                <w:sz w:val="20"/>
              </w:rPr>
              <w:t>Comportamiento subsistema SIVIM Año 2017</w:t>
            </w:r>
          </w:p>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sz w:val="20"/>
              </w:rPr>
              <w:t>Comportamiento subsistema SISVECOS Año 2017.</w:t>
            </w:r>
          </w:p>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sz w:val="20"/>
              </w:rPr>
              <w:t>Comportamiento subsistema ODISPA año 2017</w:t>
            </w:r>
          </w:p>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sz w:val="20"/>
              </w:rPr>
              <w:t>Unidad de Análisis</w:t>
            </w:r>
          </w:p>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sz w:val="20"/>
              </w:rPr>
              <w:t>Urgencias y Emergencias</w:t>
            </w:r>
          </w:p>
          <w:p w:rsidR="00E532D5" w:rsidRPr="00D27707" w:rsidRDefault="00E532D5" w:rsidP="00E532D5">
            <w:pPr>
              <w:pStyle w:val="Prrafodelista"/>
              <w:numPr>
                <w:ilvl w:val="0"/>
                <w:numId w:val="31"/>
              </w:numPr>
              <w:spacing w:line="360" w:lineRule="auto"/>
              <w:rPr>
                <w:rFonts w:ascii="Arial" w:hAnsi="Arial" w:cs="Arial"/>
                <w:bCs/>
                <w:sz w:val="20"/>
              </w:rPr>
            </w:pPr>
            <w:r w:rsidRPr="00D27707">
              <w:rPr>
                <w:rFonts w:ascii="Arial" w:hAnsi="Arial" w:cs="Arial"/>
                <w:sz w:val="20"/>
              </w:rPr>
              <w:t>Gobernanza</w:t>
            </w:r>
          </w:p>
          <w:p w:rsidR="00E532D5" w:rsidRPr="00D27707" w:rsidRDefault="00E532D5" w:rsidP="00E532D5">
            <w:pPr>
              <w:pStyle w:val="Prrafodelista"/>
              <w:numPr>
                <w:ilvl w:val="0"/>
                <w:numId w:val="31"/>
              </w:numPr>
              <w:spacing w:line="360" w:lineRule="auto"/>
              <w:rPr>
                <w:rFonts w:ascii="Arial" w:hAnsi="Arial" w:cs="Arial"/>
                <w:sz w:val="20"/>
              </w:rPr>
            </w:pPr>
            <w:r w:rsidRPr="00D27707">
              <w:rPr>
                <w:rFonts w:ascii="Arial" w:hAnsi="Arial" w:cs="Arial"/>
                <w:sz w:val="20"/>
              </w:rPr>
              <w:t>SIVIGILA</w:t>
            </w:r>
          </w:p>
          <w:p w:rsidR="00CA7085" w:rsidRPr="00D27707" w:rsidRDefault="00CA7085">
            <w:pPr>
              <w:rPr>
                <w:rFonts w:ascii="Arial" w:hAnsi="Arial" w:cs="Arial"/>
                <w:sz w:val="20"/>
              </w:rPr>
            </w:pPr>
          </w:p>
        </w:tc>
      </w:tr>
    </w:tbl>
    <w:p w:rsidR="00CA7085" w:rsidRPr="00D27707" w:rsidRDefault="00CA7085">
      <w:pPr>
        <w:jc w:val="both"/>
        <w:rPr>
          <w:rFonts w:ascii="Arial" w:hAnsi="Arial" w:cs="Arial"/>
          <w:sz w:val="20"/>
        </w:rPr>
      </w:pPr>
    </w:p>
    <w:tbl>
      <w:tblPr>
        <w:tblW w:w="10321" w:type="dxa"/>
        <w:tblInd w:w="-32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4785"/>
        <w:gridCol w:w="2835"/>
        <w:gridCol w:w="2701"/>
      </w:tblGrid>
      <w:tr w:rsidR="00CA7085" w:rsidRPr="00D27707">
        <w:trPr>
          <w:trHeight w:val="382"/>
        </w:trPr>
        <w:tc>
          <w:tcPr>
            <w:tcW w:w="10321"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rPr>
                <w:rFonts w:ascii="Arial" w:hAnsi="Arial" w:cs="Arial"/>
                <w:sz w:val="20"/>
              </w:rPr>
            </w:pPr>
            <w:r w:rsidRPr="00D27707">
              <w:rPr>
                <w:rFonts w:ascii="Arial" w:hAnsi="Arial" w:cs="Arial"/>
                <w:b/>
                <w:bCs/>
                <w:sz w:val="20"/>
              </w:rPr>
              <w:t>CIERRE DE ACCIONES DE MEJORA PENDIENTES EN REUNIÓN ANTERIOR</w:t>
            </w:r>
          </w:p>
        </w:tc>
      </w:tr>
      <w:tr w:rsidR="00CA7085" w:rsidRPr="00D27707">
        <w:trPr>
          <w:trHeight w:val="382"/>
        </w:trPr>
        <w:tc>
          <w:tcPr>
            <w:tcW w:w="4785" w:type="dxa"/>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jc w:val="center"/>
              <w:rPr>
                <w:rFonts w:ascii="Arial" w:hAnsi="Arial" w:cs="Arial"/>
                <w:sz w:val="20"/>
              </w:rPr>
            </w:pPr>
            <w:r w:rsidRPr="00D27707">
              <w:rPr>
                <w:rFonts w:ascii="Arial" w:hAnsi="Arial" w:cs="Arial"/>
                <w:b/>
                <w:sz w:val="20"/>
              </w:rPr>
              <w:t>COMPROMISO REUNIÓN ANTERIOR</w:t>
            </w:r>
          </w:p>
        </w:tc>
        <w:tc>
          <w:tcPr>
            <w:tcW w:w="2835" w:type="dxa"/>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jc w:val="center"/>
              <w:rPr>
                <w:rFonts w:ascii="Arial" w:hAnsi="Arial" w:cs="Arial"/>
                <w:sz w:val="20"/>
              </w:rPr>
            </w:pPr>
            <w:r w:rsidRPr="00D27707">
              <w:rPr>
                <w:rFonts w:ascii="Arial" w:hAnsi="Arial" w:cs="Arial"/>
                <w:b/>
                <w:sz w:val="20"/>
              </w:rPr>
              <w:t>RESPONSABLE</w:t>
            </w:r>
          </w:p>
        </w:tc>
        <w:tc>
          <w:tcPr>
            <w:tcW w:w="2701" w:type="dxa"/>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D27707" w:rsidRDefault="00C402B7">
            <w:pPr>
              <w:jc w:val="center"/>
              <w:rPr>
                <w:rFonts w:ascii="Arial" w:hAnsi="Arial" w:cs="Arial"/>
                <w:b/>
                <w:sz w:val="20"/>
              </w:rPr>
            </w:pPr>
            <w:r w:rsidRPr="00D27707">
              <w:rPr>
                <w:rFonts w:ascii="Arial" w:hAnsi="Arial" w:cs="Arial"/>
                <w:b/>
                <w:sz w:val="20"/>
              </w:rPr>
              <w:t>% DE CUMPLIMIENTO</w:t>
            </w:r>
          </w:p>
        </w:tc>
      </w:tr>
      <w:tr w:rsidR="00CA7085" w:rsidRPr="00D27707">
        <w:trPr>
          <w:trHeight w:val="315"/>
        </w:trPr>
        <w:tc>
          <w:tcPr>
            <w:tcW w:w="4785" w:type="dxa"/>
            <w:tcBorders>
              <w:top w:val="double" w:sz="4" w:space="0" w:color="00000A"/>
              <w:left w:val="double" w:sz="4" w:space="0" w:color="00000A"/>
              <w:bottom w:val="single" w:sz="4" w:space="0" w:color="00000A"/>
              <w:right w:val="single" w:sz="4" w:space="0" w:color="00000A"/>
            </w:tcBorders>
            <w:shd w:val="clear" w:color="auto" w:fill="auto"/>
            <w:tcMar>
              <w:left w:w="69" w:type="dxa"/>
            </w:tcMar>
          </w:tcPr>
          <w:p w:rsidR="00CA7085" w:rsidRPr="00D27707" w:rsidRDefault="00254572">
            <w:pPr>
              <w:rPr>
                <w:rFonts w:ascii="Arial" w:hAnsi="Arial" w:cs="Arial"/>
                <w:sz w:val="20"/>
              </w:rPr>
            </w:pPr>
            <w:r w:rsidRPr="00D27707">
              <w:rPr>
                <w:rFonts w:ascii="Arial" w:hAnsi="Arial" w:cs="Arial"/>
                <w:sz w:val="20"/>
              </w:rPr>
              <w:t>N.A.</w:t>
            </w:r>
          </w:p>
        </w:tc>
        <w:tc>
          <w:tcPr>
            <w:tcW w:w="2835" w:type="dxa"/>
            <w:tcBorders>
              <w:top w:val="double" w:sz="4" w:space="0" w:color="00000A"/>
              <w:left w:val="single" w:sz="4" w:space="0" w:color="00000A"/>
              <w:bottom w:val="single" w:sz="4" w:space="0" w:color="00000A"/>
              <w:right w:val="single" w:sz="4" w:space="0" w:color="00000A"/>
            </w:tcBorders>
            <w:shd w:val="clear" w:color="auto" w:fill="auto"/>
            <w:tcMar>
              <w:left w:w="79" w:type="dxa"/>
            </w:tcMar>
          </w:tcPr>
          <w:p w:rsidR="00CA7085" w:rsidRPr="00D27707" w:rsidRDefault="00254572">
            <w:pPr>
              <w:rPr>
                <w:rFonts w:ascii="Arial" w:hAnsi="Arial" w:cs="Arial"/>
                <w:b/>
                <w:sz w:val="20"/>
              </w:rPr>
            </w:pPr>
            <w:r w:rsidRPr="00D27707">
              <w:rPr>
                <w:rFonts w:ascii="Arial" w:hAnsi="Arial" w:cs="Arial"/>
                <w:sz w:val="20"/>
              </w:rPr>
              <w:t>N.A.</w:t>
            </w:r>
          </w:p>
        </w:tc>
        <w:tc>
          <w:tcPr>
            <w:tcW w:w="2701" w:type="dxa"/>
            <w:tcBorders>
              <w:top w:val="double" w:sz="4" w:space="0" w:color="00000A"/>
              <w:left w:val="single" w:sz="4" w:space="0" w:color="00000A"/>
              <w:bottom w:val="single" w:sz="4" w:space="0" w:color="00000A"/>
              <w:right w:val="double" w:sz="4" w:space="0" w:color="00000A"/>
            </w:tcBorders>
            <w:shd w:val="clear" w:color="auto" w:fill="auto"/>
            <w:tcMar>
              <w:left w:w="79" w:type="dxa"/>
            </w:tcMar>
          </w:tcPr>
          <w:p w:rsidR="00CA7085" w:rsidRPr="00D27707" w:rsidRDefault="00254572">
            <w:pPr>
              <w:rPr>
                <w:rFonts w:ascii="Arial" w:hAnsi="Arial" w:cs="Arial"/>
                <w:b/>
                <w:sz w:val="20"/>
              </w:rPr>
            </w:pPr>
            <w:r w:rsidRPr="00D27707">
              <w:rPr>
                <w:rFonts w:ascii="Arial" w:hAnsi="Arial" w:cs="Arial"/>
                <w:sz w:val="20"/>
              </w:rPr>
              <w:t>N.A.</w:t>
            </w:r>
          </w:p>
        </w:tc>
      </w:tr>
      <w:tr w:rsidR="00CA7085" w:rsidRPr="00D27707">
        <w:trPr>
          <w:trHeight w:val="315"/>
        </w:trPr>
        <w:tc>
          <w:tcPr>
            <w:tcW w:w="4785"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D27707" w:rsidRDefault="00CA7085">
            <w:pPr>
              <w:rPr>
                <w:rFonts w:ascii="Arial" w:hAnsi="Arial" w:cs="Arial"/>
                <w:sz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D27707" w:rsidRDefault="00CA7085">
            <w:pPr>
              <w:rPr>
                <w:rFonts w:ascii="Arial" w:hAnsi="Arial" w:cs="Arial"/>
                <w:b/>
                <w:sz w:val="20"/>
              </w:rPr>
            </w:pPr>
          </w:p>
        </w:tc>
        <w:tc>
          <w:tcPr>
            <w:tcW w:w="2701"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D27707" w:rsidRDefault="00CA7085">
            <w:pPr>
              <w:rPr>
                <w:rFonts w:ascii="Arial" w:hAnsi="Arial" w:cs="Arial"/>
                <w:b/>
                <w:sz w:val="20"/>
              </w:rPr>
            </w:pPr>
          </w:p>
        </w:tc>
      </w:tr>
      <w:tr w:rsidR="00CA7085" w:rsidRPr="00D27707">
        <w:trPr>
          <w:trHeight w:val="339"/>
        </w:trPr>
        <w:tc>
          <w:tcPr>
            <w:tcW w:w="4785"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D27707" w:rsidRDefault="00CA7085">
            <w:pPr>
              <w:rPr>
                <w:rFonts w:ascii="Arial" w:hAnsi="Arial" w:cs="Arial"/>
                <w:sz w:val="20"/>
              </w:rPr>
            </w:pP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D27707" w:rsidRDefault="00CA7085">
            <w:pPr>
              <w:rPr>
                <w:rFonts w:ascii="Arial" w:hAnsi="Arial" w:cs="Arial"/>
                <w:b/>
                <w:sz w:val="20"/>
              </w:rPr>
            </w:pPr>
          </w:p>
        </w:tc>
        <w:tc>
          <w:tcPr>
            <w:tcW w:w="2701"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D27707" w:rsidRDefault="00CA7085">
            <w:pPr>
              <w:rPr>
                <w:rFonts w:ascii="Arial" w:hAnsi="Arial" w:cs="Arial"/>
                <w:b/>
                <w:sz w:val="20"/>
              </w:rPr>
            </w:pPr>
          </w:p>
        </w:tc>
      </w:tr>
      <w:tr w:rsidR="00CA7085" w:rsidRPr="00D27707">
        <w:trPr>
          <w:trHeight w:val="339"/>
        </w:trPr>
        <w:tc>
          <w:tcPr>
            <w:tcW w:w="4785" w:type="dxa"/>
            <w:tcBorders>
              <w:top w:val="single" w:sz="4" w:space="0" w:color="00000A"/>
              <w:left w:val="double" w:sz="4" w:space="0" w:color="00000A"/>
              <w:bottom w:val="double" w:sz="4" w:space="0" w:color="00000A"/>
              <w:right w:val="single" w:sz="4" w:space="0" w:color="00000A"/>
            </w:tcBorders>
            <w:shd w:val="clear" w:color="auto" w:fill="auto"/>
            <w:tcMar>
              <w:left w:w="69" w:type="dxa"/>
            </w:tcMar>
          </w:tcPr>
          <w:p w:rsidR="00CA7085" w:rsidRPr="00D27707" w:rsidRDefault="00CA7085">
            <w:pPr>
              <w:rPr>
                <w:rFonts w:ascii="Arial" w:hAnsi="Arial" w:cs="Arial"/>
                <w:sz w:val="20"/>
              </w:rPr>
            </w:pPr>
          </w:p>
        </w:tc>
        <w:tc>
          <w:tcPr>
            <w:tcW w:w="2835" w:type="dxa"/>
            <w:tcBorders>
              <w:top w:val="single" w:sz="4" w:space="0" w:color="00000A"/>
              <w:left w:val="single" w:sz="4" w:space="0" w:color="00000A"/>
              <w:bottom w:val="double" w:sz="4" w:space="0" w:color="00000A"/>
              <w:right w:val="single" w:sz="4" w:space="0" w:color="00000A"/>
            </w:tcBorders>
            <w:shd w:val="clear" w:color="auto" w:fill="auto"/>
            <w:tcMar>
              <w:left w:w="79" w:type="dxa"/>
            </w:tcMar>
          </w:tcPr>
          <w:p w:rsidR="00CA7085" w:rsidRPr="00D27707" w:rsidRDefault="00CA7085">
            <w:pPr>
              <w:rPr>
                <w:rFonts w:ascii="Arial" w:hAnsi="Arial" w:cs="Arial"/>
                <w:b/>
                <w:sz w:val="20"/>
              </w:rPr>
            </w:pPr>
          </w:p>
        </w:tc>
        <w:tc>
          <w:tcPr>
            <w:tcW w:w="2701" w:type="dxa"/>
            <w:tcBorders>
              <w:top w:val="single" w:sz="4" w:space="0" w:color="00000A"/>
              <w:left w:val="single" w:sz="4" w:space="0" w:color="00000A"/>
              <w:bottom w:val="double" w:sz="4" w:space="0" w:color="00000A"/>
              <w:right w:val="double" w:sz="4" w:space="0" w:color="00000A"/>
            </w:tcBorders>
            <w:shd w:val="clear" w:color="auto" w:fill="auto"/>
            <w:tcMar>
              <w:left w:w="79" w:type="dxa"/>
            </w:tcMar>
          </w:tcPr>
          <w:p w:rsidR="00CA7085" w:rsidRPr="00D27707" w:rsidRDefault="00CA7085">
            <w:pPr>
              <w:rPr>
                <w:rFonts w:ascii="Arial" w:hAnsi="Arial" w:cs="Arial"/>
                <w:b/>
                <w:sz w:val="20"/>
              </w:rPr>
            </w:pPr>
          </w:p>
        </w:tc>
      </w:tr>
      <w:tr w:rsidR="00CA7085" w:rsidRPr="00D27707">
        <w:trPr>
          <w:trHeight w:val="382"/>
        </w:trPr>
        <w:tc>
          <w:tcPr>
            <w:tcW w:w="10321"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254572" w:rsidRPr="00D27707" w:rsidRDefault="00254572">
            <w:pPr>
              <w:rPr>
                <w:rFonts w:ascii="Arial" w:hAnsi="Arial" w:cs="Arial"/>
                <w:b/>
                <w:sz w:val="20"/>
              </w:rPr>
            </w:pPr>
          </w:p>
          <w:p w:rsidR="00CA7085" w:rsidRPr="00D27707" w:rsidRDefault="00CA7085">
            <w:pPr>
              <w:rPr>
                <w:rFonts w:ascii="Arial" w:hAnsi="Arial" w:cs="Arial"/>
                <w:sz w:val="20"/>
              </w:rPr>
            </w:pPr>
          </w:p>
        </w:tc>
      </w:tr>
      <w:tr w:rsidR="00CA7085" w:rsidRPr="00D27707">
        <w:trPr>
          <w:trHeight w:val="2867"/>
        </w:trPr>
        <w:tc>
          <w:tcPr>
            <w:tcW w:w="10321"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B372B" w:rsidRPr="00D27707" w:rsidRDefault="00CB372B" w:rsidP="00CB372B">
            <w:pPr>
              <w:rPr>
                <w:rFonts w:ascii="Arial" w:hAnsi="Arial" w:cs="Arial"/>
                <w:b/>
                <w:color w:val="000000" w:themeColor="text1"/>
                <w:sz w:val="20"/>
              </w:rPr>
            </w:pPr>
            <w:r w:rsidRPr="00D27707">
              <w:rPr>
                <w:rFonts w:ascii="Arial" w:hAnsi="Arial" w:cs="Arial"/>
                <w:b/>
                <w:color w:val="000000" w:themeColor="text1"/>
                <w:sz w:val="20"/>
              </w:rPr>
              <w:lastRenderedPageBreak/>
              <w:t>DESARROLLO DE LA REUNIÓN</w:t>
            </w:r>
          </w:p>
          <w:p w:rsidR="00CB372B" w:rsidRPr="00D27707" w:rsidRDefault="00CB372B" w:rsidP="00CB372B">
            <w:pPr>
              <w:rPr>
                <w:rFonts w:ascii="Arial" w:hAnsi="Arial" w:cs="Arial"/>
                <w:b/>
                <w:color w:val="000000" w:themeColor="text1"/>
                <w:sz w:val="20"/>
              </w:rPr>
            </w:pPr>
          </w:p>
          <w:p w:rsidR="00CB372B" w:rsidRPr="00D27707" w:rsidRDefault="00CB372B" w:rsidP="00CB372B">
            <w:pPr>
              <w:pStyle w:val="Prrafodelista"/>
              <w:numPr>
                <w:ilvl w:val="0"/>
                <w:numId w:val="32"/>
              </w:numPr>
              <w:spacing w:line="360" w:lineRule="auto"/>
              <w:rPr>
                <w:rFonts w:ascii="Arial" w:hAnsi="Arial" w:cs="Arial"/>
                <w:b/>
                <w:color w:val="000000" w:themeColor="text1"/>
                <w:sz w:val="20"/>
              </w:rPr>
            </w:pPr>
            <w:r w:rsidRPr="00D27707">
              <w:rPr>
                <w:rFonts w:ascii="Arial" w:hAnsi="Arial" w:cs="Arial"/>
                <w:b/>
                <w:color w:val="000000" w:themeColor="text1"/>
                <w:sz w:val="20"/>
              </w:rPr>
              <w:t>Comportamiento subsistema SIVIM Año 2017.</w:t>
            </w:r>
          </w:p>
          <w:p w:rsidR="00CB372B" w:rsidRPr="00D27707" w:rsidRDefault="00CB372B" w:rsidP="00CB372B">
            <w:pPr>
              <w:spacing w:line="360" w:lineRule="auto"/>
              <w:jc w:val="both"/>
              <w:rPr>
                <w:rFonts w:ascii="Arial" w:hAnsi="Arial" w:cs="Arial"/>
                <w:bCs/>
                <w:color w:val="000000" w:themeColor="text1"/>
                <w:sz w:val="20"/>
              </w:rPr>
            </w:pPr>
            <w:r w:rsidRPr="00D27707">
              <w:rPr>
                <w:rFonts w:ascii="Arial" w:hAnsi="Arial" w:cs="Arial"/>
                <w:bCs/>
                <w:color w:val="000000" w:themeColor="text1"/>
                <w:sz w:val="20"/>
              </w:rPr>
              <w:t xml:space="preserve">La referente del subsistema SIVIM para la localidad de Suba Karina Cifuentes, inicia presentando un video con el ánimo de generar debate frente al tema de violencias,  continua con la definición de casos, de tal forma que se realiza un repaso de los 6 tipos de violencia que deben ser notificados al subsistema aclarando la responsabilidad de las UPGD en notificar de forma obligatoria e inmediata. Seguido presenta comportamiento de violencias durante el 2017 según sexo se presentó mayormente en mujeres en la localidad, se encuentra que el ciclo afectado fue ciclo de infancia seguido de adultez. Aunque la violencia emocional se presenta en todos los casos por ende se ve reflejada como la mayor violencia reportada, pero fuera de ella se encuentra la violencia por negligencia como la mayor recortada. Por último se fortalece el reporte de activación de rutas para canalizar y los medios y entidades para el denuncio respectivo de los casos. </w:t>
            </w:r>
          </w:p>
          <w:p w:rsidR="00CB372B" w:rsidRPr="00D27707" w:rsidRDefault="00CB372B" w:rsidP="00CB372B">
            <w:pPr>
              <w:spacing w:line="360" w:lineRule="auto"/>
              <w:jc w:val="both"/>
              <w:rPr>
                <w:rFonts w:ascii="Arial" w:hAnsi="Arial" w:cs="Arial"/>
                <w:bCs/>
                <w:color w:val="000000" w:themeColor="text1"/>
                <w:sz w:val="20"/>
              </w:rPr>
            </w:pPr>
          </w:p>
          <w:p w:rsidR="00CB372B" w:rsidRPr="00D27707" w:rsidRDefault="00CB372B" w:rsidP="00CB372B">
            <w:pPr>
              <w:pStyle w:val="Prrafodelista"/>
              <w:numPr>
                <w:ilvl w:val="0"/>
                <w:numId w:val="32"/>
              </w:numPr>
              <w:spacing w:line="360" w:lineRule="auto"/>
              <w:rPr>
                <w:rFonts w:ascii="Arial" w:hAnsi="Arial" w:cs="Arial"/>
                <w:b/>
                <w:color w:val="000000" w:themeColor="text1"/>
                <w:sz w:val="20"/>
              </w:rPr>
            </w:pPr>
            <w:r w:rsidRPr="00D27707">
              <w:rPr>
                <w:rFonts w:ascii="Arial" w:hAnsi="Arial" w:cs="Arial"/>
                <w:b/>
                <w:color w:val="000000" w:themeColor="text1"/>
                <w:sz w:val="20"/>
              </w:rPr>
              <w:t>Comportamiento subsistema SISVECOS Año 2017.</w:t>
            </w:r>
          </w:p>
          <w:p w:rsidR="00CB372B" w:rsidRPr="00D27707" w:rsidRDefault="00CB372B" w:rsidP="00CB372B">
            <w:pPr>
              <w:spacing w:line="360" w:lineRule="auto"/>
              <w:jc w:val="both"/>
              <w:rPr>
                <w:rFonts w:ascii="Arial" w:hAnsi="Arial" w:cs="Arial"/>
                <w:bCs/>
                <w:color w:val="000000" w:themeColor="text1"/>
                <w:sz w:val="20"/>
              </w:rPr>
            </w:pPr>
            <w:r w:rsidRPr="00D27707">
              <w:rPr>
                <w:rFonts w:ascii="Arial" w:hAnsi="Arial" w:cs="Arial"/>
                <w:bCs/>
                <w:color w:val="000000" w:themeColor="text1"/>
                <w:sz w:val="20"/>
              </w:rPr>
              <w:t xml:space="preserve">La referente del subsistema SISVECO para la localidad de Suba Doris Zambrano, presenta cifras respecto al número de casos notificados al Subsistema en la localidad  durante el año 2017 para el año se presentaron 410 casos efectivos y 98 fallidos, siendo el sexo femenino para esta localidad el más representativo en conducta suicida, y siendo la intento la conducta más relevante siendo en estado civil los solteros los más expuestos a este evento. </w:t>
            </w:r>
          </w:p>
          <w:p w:rsidR="00CB372B" w:rsidRPr="00D27707" w:rsidRDefault="00CB372B" w:rsidP="00CB372B">
            <w:pPr>
              <w:spacing w:line="360" w:lineRule="auto"/>
              <w:jc w:val="both"/>
              <w:rPr>
                <w:rFonts w:ascii="Arial" w:hAnsi="Arial" w:cs="Arial"/>
                <w:bCs/>
                <w:color w:val="000000" w:themeColor="text1"/>
                <w:sz w:val="20"/>
              </w:rPr>
            </w:pPr>
            <w:r w:rsidRPr="00D27707">
              <w:rPr>
                <w:rFonts w:ascii="Arial" w:hAnsi="Arial" w:cs="Arial"/>
                <w:bCs/>
                <w:color w:val="000000" w:themeColor="text1"/>
                <w:sz w:val="20"/>
              </w:rPr>
              <w:t>Se socializa la  ficha de notificación, explicando las variables allí incluidas y el debido  diligenciamiento. Se recuerda el correo de envío de notificación y se resuelven las inquietudes presentadas por los asistentes. Y se refuerza como identificar posibles casos de conducta suicida.</w:t>
            </w:r>
          </w:p>
          <w:p w:rsidR="00CB372B" w:rsidRPr="00D27707" w:rsidRDefault="00CB372B" w:rsidP="00CB372B">
            <w:pPr>
              <w:spacing w:line="360" w:lineRule="auto"/>
              <w:jc w:val="both"/>
              <w:rPr>
                <w:rFonts w:ascii="Arial" w:hAnsi="Arial" w:cs="Arial"/>
                <w:bCs/>
                <w:color w:val="000000" w:themeColor="text1"/>
                <w:sz w:val="20"/>
              </w:rPr>
            </w:pPr>
            <w:r w:rsidRPr="00D27707">
              <w:rPr>
                <w:rFonts w:ascii="Arial" w:hAnsi="Arial" w:cs="Arial"/>
                <w:bCs/>
                <w:color w:val="000000" w:themeColor="text1"/>
                <w:sz w:val="20"/>
              </w:rPr>
              <w:t>Se aclara los conceptos de activación de ruta que es</w:t>
            </w:r>
            <w:proofErr w:type="gramStart"/>
            <w:r w:rsidRPr="00D27707">
              <w:rPr>
                <w:rFonts w:ascii="Arial" w:hAnsi="Arial" w:cs="Arial"/>
                <w:bCs/>
                <w:color w:val="000000" w:themeColor="text1"/>
                <w:sz w:val="20"/>
              </w:rPr>
              <w:t>?</w:t>
            </w:r>
            <w:proofErr w:type="gramEnd"/>
            <w:r w:rsidRPr="00D27707">
              <w:rPr>
                <w:rFonts w:ascii="Arial" w:hAnsi="Arial" w:cs="Arial"/>
                <w:bCs/>
                <w:color w:val="000000" w:themeColor="text1"/>
                <w:sz w:val="20"/>
              </w:rPr>
              <w:t>, que se reporta? Y quién</w:t>
            </w:r>
            <w:proofErr w:type="gramStart"/>
            <w:r w:rsidRPr="00D27707">
              <w:rPr>
                <w:rFonts w:ascii="Arial" w:hAnsi="Arial" w:cs="Arial"/>
                <w:bCs/>
                <w:color w:val="000000" w:themeColor="text1"/>
                <w:sz w:val="20"/>
              </w:rPr>
              <w:t>?</w:t>
            </w:r>
            <w:proofErr w:type="gramEnd"/>
            <w:r w:rsidRPr="00D27707">
              <w:rPr>
                <w:rFonts w:ascii="Arial" w:hAnsi="Arial" w:cs="Arial"/>
                <w:bCs/>
                <w:color w:val="000000" w:themeColor="text1"/>
                <w:sz w:val="20"/>
              </w:rPr>
              <w:t xml:space="preserve">,  siendo ligado igualmente al os entes territoriales donde se debe n denunciar. </w:t>
            </w:r>
          </w:p>
          <w:p w:rsidR="00CB372B" w:rsidRPr="00D27707" w:rsidRDefault="00CB372B" w:rsidP="00CB372B">
            <w:pPr>
              <w:spacing w:line="360" w:lineRule="auto"/>
              <w:jc w:val="both"/>
              <w:rPr>
                <w:rFonts w:ascii="Arial" w:hAnsi="Arial" w:cs="Arial"/>
                <w:bCs/>
                <w:color w:val="000000" w:themeColor="text1"/>
                <w:sz w:val="20"/>
              </w:rPr>
            </w:pPr>
            <w:r w:rsidRPr="00D27707">
              <w:rPr>
                <w:rFonts w:ascii="Arial" w:hAnsi="Arial" w:cs="Arial"/>
                <w:bCs/>
                <w:color w:val="000000" w:themeColor="text1"/>
                <w:sz w:val="20"/>
              </w:rPr>
              <w:t xml:space="preserve">Se socializa la  ficha de notificación, explicando las variables allí incluidas y el debido  diligenciamiento. Se recuerda el correo de envío de notificación y se resuelven las inquietudes presentadas por los asistentes. </w:t>
            </w:r>
          </w:p>
          <w:p w:rsidR="00CB372B" w:rsidRPr="00D27707" w:rsidRDefault="00CB372B" w:rsidP="00CB372B">
            <w:pPr>
              <w:spacing w:line="360" w:lineRule="auto"/>
              <w:jc w:val="both"/>
              <w:rPr>
                <w:rFonts w:ascii="Arial" w:hAnsi="Arial" w:cs="Arial"/>
                <w:bCs/>
                <w:color w:val="5B9BD5"/>
                <w:sz w:val="20"/>
              </w:rPr>
            </w:pPr>
          </w:p>
          <w:p w:rsidR="00CB372B" w:rsidRPr="00D27707" w:rsidRDefault="00CB372B" w:rsidP="00A757ED">
            <w:pPr>
              <w:pStyle w:val="Prrafodelista"/>
              <w:numPr>
                <w:ilvl w:val="0"/>
                <w:numId w:val="32"/>
              </w:numPr>
              <w:spacing w:line="360" w:lineRule="auto"/>
              <w:jc w:val="both"/>
              <w:rPr>
                <w:rFonts w:ascii="Arial" w:hAnsi="Arial" w:cs="Arial"/>
                <w:b/>
                <w:bCs/>
                <w:color w:val="000000" w:themeColor="text1"/>
                <w:sz w:val="20"/>
              </w:rPr>
            </w:pPr>
            <w:r w:rsidRPr="00D27707">
              <w:rPr>
                <w:rFonts w:ascii="Arial" w:hAnsi="Arial" w:cs="Arial"/>
                <w:b/>
                <w:bCs/>
                <w:color w:val="000000" w:themeColor="text1"/>
                <w:sz w:val="20"/>
              </w:rPr>
              <w:t>Comportamiento subsistema ODISPA</w:t>
            </w:r>
          </w:p>
          <w:p w:rsidR="00CB372B" w:rsidRPr="00D27707" w:rsidRDefault="00CB372B" w:rsidP="00CB372B">
            <w:pPr>
              <w:spacing w:line="360" w:lineRule="auto"/>
              <w:jc w:val="both"/>
              <w:rPr>
                <w:rFonts w:ascii="Arial" w:hAnsi="Arial" w:cs="Arial"/>
                <w:b/>
                <w:color w:val="000000" w:themeColor="text1"/>
                <w:sz w:val="20"/>
              </w:rPr>
            </w:pPr>
            <w:r w:rsidRPr="00D27707">
              <w:rPr>
                <w:rFonts w:ascii="Arial" w:hAnsi="Arial" w:cs="Arial"/>
                <w:bCs/>
                <w:color w:val="000000" w:themeColor="text1"/>
                <w:sz w:val="20"/>
              </w:rPr>
              <w:t xml:space="preserve">El Observatorio se define como un instrumento de gestión para el diagnóstico, análisis, comprensión y generación de conocimiento sobre el fenómeno de las drogas. Se socializa las actividades globales del observatorio distrital de drogas como son: la adopción de herramientas internacionales de consulta; la creación o la adopción de un marco de referencia para la elaboración de informes; datos y expertos para interpretarlos entre otros. Se encontró </w:t>
            </w:r>
            <w:r w:rsidRPr="00D27707">
              <w:rPr>
                <w:rFonts w:ascii="Arial" w:hAnsi="Arial" w:cs="Arial"/>
                <w:bCs/>
                <w:color w:val="000000" w:themeColor="text1"/>
                <w:sz w:val="20"/>
              </w:rPr>
              <w:lastRenderedPageBreak/>
              <w:t>para el 2017 en la localidad 391 casos siendo menormente significativo comparada con el año anterior con 1.395 casos en 2016. El consumo abusivo diferenciado por sexo 326 hombres y  64 en mujeres; Según nivel educativo se presentó mayormente en secundaria incompleta seguida de universidad incompleta, siendo  la casa de amigos seguida de parques  el lugar de consumo más representativo, estando el alcohol como la droga de inicio.</w:t>
            </w:r>
          </w:p>
          <w:p w:rsidR="00D1117D" w:rsidRPr="00D27707" w:rsidRDefault="00D1117D" w:rsidP="00D1117D">
            <w:pPr>
              <w:pStyle w:val="Prrafodelista"/>
              <w:spacing w:line="360" w:lineRule="auto"/>
              <w:rPr>
                <w:rFonts w:ascii="Arial" w:hAnsi="Arial" w:cs="Arial"/>
                <w:b/>
                <w:sz w:val="20"/>
              </w:rPr>
            </w:pPr>
          </w:p>
          <w:p w:rsidR="00D1117D" w:rsidRPr="00D27707" w:rsidRDefault="00D1117D" w:rsidP="00A757ED">
            <w:pPr>
              <w:pStyle w:val="Prrafodelista"/>
              <w:numPr>
                <w:ilvl w:val="0"/>
                <w:numId w:val="32"/>
              </w:numPr>
              <w:spacing w:line="360" w:lineRule="auto"/>
              <w:rPr>
                <w:rFonts w:ascii="Arial" w:hAnsi="Arial" w:cs="Arial"/>
                <w:b/>
                <w:sz w:val="20"/>
              </w:rPr>
            </w:pPr>
            <w:r w:rsidRPr="00D27707">
              <w:rPr>
                <w:rFonts w:ascii="Arial" w:hAnsi="Arial" w:cs="Arial"/>
                <w:b/>
                <w:sz w:val="20"/>
              </w:rPr>
              <w:t xml:space="preserve">Unidad de análisis </w:t>
            </w:r>
          </w:p>
          <w:p w:rsidR="00CB372B" w:rsidRPr="00D27707" w:rsidRDefault="00CB372B" w:rsidP="00CB372B">
            <w:pPr>
              <w:spacing w:line="360" w:lineRule="auto"/>
              <w:jc w:val="both"/>
              <w:rPr>
                <w:rFonts w:ascii="Arial" w:hAnsi="Arial" w:cs="Arial"/>
                <w:color w:val="000000" w:themeColor="text1"/>
                <w:sz w:val="20"/>
              </w:rPr>
            </w:pPr>
            <w:r w:rsidRPr="00D27707">
              <w:rPr>
                <w:rFonts w:ascii="Arial" w:hAnsi="Arial" w:cs="Arial"/>
                <w:color w:val="000000" w:themeColor="text1"/>
                <w:sz w:val="20"/>
              </w:rPr>
              <w:t>Evaluar conocimientos adquiridos de la temática Salud Mental (SIVIM, SISVECOS, VESPA –ODISPA desarrollada en el COVE.</w:t>
            </w:r>
          </w:p>
          <w:p w:rsidR="00CB372B" w:rsidRPr="00D27707" w:rsidRDefault="00CB372B" w:rsidP="00CB372B">
            <w:pPr>
              <w:spacing w:line="360" w:lineRule="auto"/>
              <w:jc w:val="both"/>
              <w:rPr>
                <w:rFonts w:ascii="Arial" w:hAnsi="Arial" w:cs="Arial"/>
                <w:color w:val="000000" w:themeColor="text1"/>
                <w:sz w:val="20"/>
              </w:rPr>
            </w:pPr>
            <w:r w:rsidRPr="00D27707">
              <w:rPr>
                <w:rFonts w:ascii="Arial" w:hAnsi="Arial" w:cs="Arial"/>
                <w:color w:val="000000" w:themeColor="text1"/>
                <w:sz w:val="20"/>
              </w:rPr>
              <w:t>Se realiza por grupos, explicando a los participantes la metodología y objetivos de la unidad de análisis, seguido de san las respuestas por grupos y se confirma dichas por el referente del subsistema. Dando alcance a lo presentado y a los videos que dieron pie para iniciar el análisis del comportamiento en la localidad.</w:t>
            </w:r>
          </w:p>
          <w:p w:rsidR="00DB7CD8" w:rsidRPr="00D27707" w:rsidRDefault="00DB7CD8" w:rsidP="00D1117D">
            <w:pPr>
              <w:jc w:val="both"/>
              <w:rPr>
                <w:rFonts w:ascii="Arial" w:hAnsi="Arial" w:cs="Arial"/>
                <w:sz w:val="20"/>
              </w:rPr>
            </w:pPr>
          </w:p>
          <w:p w:rsidR="00DB7CD8" w:rsidRPr="00D27707" w:rsidRDefault="00DB7CD8" w:rsidP="0067713E">
            <w:pPr>
              <w:jc w:val="both"/>
              <w:rPr>
                <w:rFonts w:ascii="Arial" w:hAnsi="Arial" w:cs="Arial"/>
                <w:sz w:val="20"/>
                <w:lang w:val="es-MX"/>
              </w:rPr>
            </w:pPr>
          </w:p>
          <w:p w:rsidR="0067713E" w:rsidRPr="00D27707" w:rsidRDefault="0067713E" w:rsidP="00A757ED">
            <w:pPr>
              <w:pStyle w:val="Prrafodelista"/>
              <w:numPr>
                <w:ilvl w:val="0"/>
                <w:numId w:val="32"/>
              </w:numPr>
              <w:jc w:val="both"/>
              <w:rPr>
                <w:rFonts w:ascii="Arial" w:hAnsi="Arial" w:cs="Arial"/>
                <w:b/>
                <w:sz w:val="20"/>
              </w:rPr>
            </w:pPr>
            <w:r w:rsidRPr="00D27707">
              <w:rPr>
                <w:rFonts w:ascii="Arial" w:hAnsi="Arial" w:cs="Arial"/>
                <w:b/>
                <w:sz w:val="20"/>
              </w:rPr>
              <w:t xml:space="preserve"> </w:t>
            </w:r>
            <w:r w:rsidR="0051525A" w:rsidRPr="00D27707">
              <w:rPr>
                <w:rFonts w:ascii="Arial" w:hAnsi="Arial" w:cs="Arial"/>
                <w:b/>
                <w:sz w:val="20"/>
              </w:rPr>
              <w:t>urgencias y emergencias</w:t>
            </w:r>
          </w:p>
          <w:p w:rsidR="00AC1696" w:rsidRPr="00D27707" w:rsidRDefault="00AC1696" w:rsidP="0042204B">
            <w:pPr>
              <w:pStyle w:val="Prrafodelista"/>
              <w:jc w:val="both"/>
              <w:rPr>
                <w:rFonts w:ascii="Arial" w:hAnsi="Arial" w:cs="Arial"/>
                <w:color w:val="FF0000"/>
                <w:sz w:val="20"/>
              </w:rPr>
            </w:pPr>
          </w:p>
          <w:p w:rsidR="00D1117D" w:rsidRPr="00D27707" w:rsidRDefault="009A3782" w:rsidP="00D1117D">
            <w:pPr>
              <w:jc w:val="both"/>
              <w:rPr>
                <w:rFonts w:ascii="Arial" w:hAnsi="Arial" w:cs="Arial"/>
                <w:sz w:val="20"/>
              </w:rPr>
            </w:pPr>
            <w:r w:rsidRPr="00D27707">
              <w:rPr>
                <w:rFonts w:ascii="Arial" w:hAnsi="Arial" w:cs="Arial"/>
                <w:sz w:val="20"/>
              </w:rPr>
              <w:t>E</w:t>
            </w:r>
            <w:r w:rsidR="00D1117D" w:rsidRPr="00D27707">
              <w:rPr>
                <w:rFonts w:ascii="Arial" w:hAnsi="Arial" w:cs="Arial"/>
                <w:sz w:val="20"/>
              </w:rPr>
              <w:t xml:space="preserve">l equipo </w:t>
            </w:r>
            <w:proofErr w:type="spellStart"/>
            <w:r w:rsidR="00D1117D" w:rsidRPr="00D27707">
              <w:rPr>
                <w:rFonts w:ascii="Arial" w:hAnsi="Arial" w:cs="Arial"/>
                <w:sz w:val="20"/>
              </w:rPr>
              <w:t>UyE</w:t>
            </w:r>
            <w:proofErr w:type="spellEnd"/>
            <w:r w:rsidR="00D1117D" w:rsidRPr="00D27707">
              <w:rPr>
                <w:rFonts w:ascii="Arial" w:hAnsi="Arial" w:cs="Arial"/>
                <w:sz w:val="20"/>
              </w:rPr>
              <w:t xml:space="preserve"> (Urgencias y Emergencias) por medio del epidemiólogo del equipo ERI (equipo respuesta inmediata) realiza presentación de las alertas epidemiológicas con corte a semana epidemiológica 10. A continuación se describen las alertas epidemiológicas socializadas en el COVE:</w:t>
            </w:r>
          </w:p>
          <w:p w:rsidR="00D1117D" w:rsidRPr="00D27707" w:rsidRDefault="00D1117D" w:rsidP="00D1117D">
            <w:pPr>
              <w:jc w:val="both"/>
              <w:rPr>
                <w:rFonts w:ascii="Arial" w:hAnsi="Arial" w:cs="Arial"/>
                <w:bCs/>
                <w:sz w:val="20"/>
              </w:rPr>
            </w:pPr>
            <w:r w:rsidRPr="00D27707">
              <w:rPr>
                <w:rFonts w:ascii="Arial" w:hAnsi="Arial" w:cs="Arial"/>
                <w:bCs/>
                <w:sz w:val="20"/>
              </w:rPr>
              <w:t>Se socializó las alertas epidemiológicas de los siguientes eventos de interés en salud pública:</w:t>
            </w:r>
          </w:p>
          <w:p w:rsidR="00D1117D" w:rsidRPr="00D27707" w:rsidRDefault="00D1117D" w:rsidP="00D1117D">
            <w:pPr>
              <w:pStyle w:val="Prrafodelista"/>
              <w:numPr>
                <w:ilvl w:val="0"/>
                <w:numId w:val="34"/>
              </w:numPr>
              <w:spacing w:after="160" w:line="259" w:lineRule="auto"/>
              <w:jc w:val="both"/>
              <w:rPr>
                <w:rFonts w:ascii="Arial" w:hAnsi="Arial" w:cs="Arial"/>
                <w:bCs/>
                <w:sz w:val="20"/>
              </w:rPr>
            </w:pPr>
            <w:r w:rsidRPr="00D27707">
              <w:rPr>
                <w:rFonts w:ascii="Arial" w:hAnsi="Arial" w:cs="Arial"/>
                <w:bCs/>
                <w:sz w:val="20"/>
              </w:rPr>
              <w:t>Sarampión</w:t>
            </w:r>
          </w:p>
          <w:p w:rsidR="00D1117D" w:rsidRPr="00D27707" w:rsidRDefault="00D1117D" w:rsidP="00D1117D">
            <w:pPr>
              <w:pStyle w:val="Prrafodelista"/>
              <w:numPr>
                <w:ilvl w:val="0"/>
                <w:numId w:val="34"/>
              </w:numPr>
              <w:spacing w:after="160" w:line="259" w:lineRule="auto"/>
              <w:jc w:val="both"/>
              <w:rPr>
                <w:rFonts w:ascii="Arial" w:hAnsi="Arial" w:cs="Arial"/>
                <w:bCs/>
                <w:sz w:val="20"/>
              </w:rPr>
            </w:pPr>
            <w:r w:rsidRPr="00D27707">
              <w:rPr>
                <w:rFonts w:ascii="Arial" w:hAnsi="Arial" w:cs="Arial"/>
                <w:bCs/>
                <w:sz w:val="20"/>
              </w:rPr>
              <w:t>Difteria</w:t>
            </w:r>
          </w:p>
          <w:p w:rsidR="00D1117D" w:rsidRPr="00D27707" w:rsidRDefault="00D1117D" w:rsidP="00D1117D">
            <w:pPr>
              <w:pStyle w:val="Prrafodelista"/>
              <w:numPr>
                <w:ilvl w:val="0"/>
                <w:numId w:val="34"/>
              </w:numPr>
              <w:spacing w:after="160" w:line="259" w:lineRule="auto"/>
              <w:jc w:val="both"/>
              <w:rPr>
                <w:rFonts w:ascii="Arial" w:hAnsi="Arial" w:cs="Arial"/>
                <w:bCs/>
                <w:sz w:val="20"/>
              </w:rPr>
            </w:pPr>
            <w:r w:rsidRPr="00D27707">
              <w:rPr>
                <w:rFonts w:ascii="Arial" w:hAnsi="Arial" w:cs="Arial"/>
                <w:bCs/>
                <w:sz w:val="20"/>
              </w:rPr>
              <w:t>Fiebre amarilla</w:t>
            </w:r>
          </w:p>
          <w:p w:rsidR="00D1117D" w:rsidRPr="00D27707" w:rsidRDefault="00D1117D" w:rsidP="00D1117D">
            <w:pPr>
              <w:pStyle w:val="Prrafodelista"/>
              <w:numPr>
                <w:ilvl w:val="0"/>
                <w:numId w:val="34"/>
              </w:numPr>
              <w:spacing w:after="160" w:line="259" w:lineRule="auto"/>
              <w:jc w:val="both"/>
              <w:rPr>
                <w:rFonts w:ascii="Arial" w:hAnsi="Arial" w:cs="Arial"/>
                <w:bCs/>
                <w:sz w:val="20"/>
              </w:rPr>
            </w:pPr>
            <w:r w:rsidRPr="00D27707">
              <w:rPr>
                <w:rFonts w:ascii="Arial" w:hAnsi="Arial" w:cs="Arial"/>
                <w:bCs/>
                <w:sz w:val="20"/>
              </w:rPr>
              <w:t>IRAG</w:t>
            </w:r>
          </w:p>
          <w:p w:rsidR="00D1117D" w:rsidRPr="00D27707" w:rsidRDefault="00D1117D" w:rsidP="00D1117D">
            <w:pPr>
              <w:jc w:val="both"/>
              <w:rPr>
                <w:rFonts w:ascii="Arial" w:hAnsi="Arial" w:cs="Arial"/>
                <w:b/>
                <w:bCs/>
                <w:sz w:val="20"/>
              </w:rPr>
            </w:pPr>
            <w:r w:rsidRPr="00D27707">
              <w:rPr>
                <w:rFonts w:ascii="Arial" w:hAnsi="Arial" w:cs="Arial"/>
                <w:b/>
                <w:bCs/>
                <w:sz w:val="20"/>
              </w:rPr>
              <w:t>ALERTA EPIDEMIOLÓGICA INTERNACIONAL</w:t>
            </w:r>
          </w:p>
          <w:p w:rsidR="00D1117D" w:rsidRPr="00D27707" w:rsidRDefault="00D1117D" w:rsidP="00D1117D">
            <w:pPr>
              <w:jc w:val="both"/>
              <w:rPr>
                <w:rFonts w:ascii="Arial" w:hAnsi="Arial" w:cs="Arial"/>
                <w:b/>
                <w:bCs/>
                <w:sz w:val="20"/>
                <w:u w:val="single"/>
              </w:rPr>
            </w:pPr>
            <w:r w:rsidRPr="00D27707">
              <w:rPr>
                <w:rFonts w:ascii="Arial" w:hAnsi="Arial" w:cs="Arial"/>
                <w:b/>
                <w:bCs/>
                <w:sz w:val="20"/>
                <w:u w:val="single"/>
              </w:rPr>
              <w:t>Sarampión</w:t>
            </w:r>
          </w:p>
          <w:p w:rsidR="00D1117D" w:rsidRPr="00D27707" w:rsidRDefault="00D1117D" w:rsidP="00D1117D">
            <w:pPr>
              <w:jc w:val="both"/>
              <w:rPr>
                <w:rFonts w:ascii="Arial" w:hAnsi="Arial" w:cs="Arial"/>
                <w:sz w:val="20"/>
              </w:rPr>
            </w:pPr>
            <w:r w:rsidRPr="00D27707">
              <w:rPr>
                <w:rFonts w:ascii="Arial" w:hAnsi="Arial" w:cs="Arial"/>
                <w:sz w:val="20"/>
              </w:rPr>
              <w:t>En el período comprendido entre noviembre de 2016 y diciembre de 2017, los países de la Región Europea notificaron 17.584 casos de sarampión, la mayor incidencia acumulada se registró en:</w:t>
            </w:r>
          </w:p>
          <w:p w:rsidR="00D1117D" w:rsidRPr="00D27707" w:rsidRDefault="00D1117D" w:rsidP="00D1117D">
            <w:pPr>
              <w:pStyle w:val="Prrafodelista"/>
              <w:numPr>
                <w:ilvl w:val="0"/>
                <w:numId w:val="36"/>
              </w:numPr>
              <w:spacing w:after="160" w:line="259" w:lineRule="auto"/>
              <w:jc w:val="both"/>
              <w:rPr>
                <w:rFonts w:ascii="Arial" w:hAnsi="Arial" w:cs="Arial"/>
                <w:sz w:val="20"/>
              </w:rPr>
            </w:pPr>
            <w:r w:rsidRPr="00D27707">
              <w:rPr>
                <w:rFonts w:ascii="Arial" w:hAnsi="Arial" w:cs="Arial"/>
                <w:sz w:val="20"/>
              </w:rPr>
              <w:t>Rumania: 291,5 casos por millón de habitantes.</w:t>
            </w:r>
          </w:p>
          <w:p w:rsidR="00D1117D" w:rsidRPr="00D27707" w:rsidRDefault="00D1117D" w:rsidP="00D1117D">
            <w:pPr>
              <w:pStyle w:val="Prrafodelista"/>
              <w:numPr>
                <w:ilvl w:val="0"/>
                <w:numId w:val="36"/>
              </w:numPr>
              <w:spacing w:after="160" w:line="259" w:lineRule="auto"/>
              <w:jc w:val="both"/>
              <w:rPr>
                <w:rFonts w:ascii="Arial" w:hAnsi="Arial" w:cs="Arial"/>
                <w:sz w:val="20"/>
              </w:rPr>
            </w:pPr>
            <w:r w:rsidRPr="00D27707">
              <w:rPr>
                <w:rFonts w:ascii="Arial" w:hAnsi="Arial" w:cs="Arial"/>
                <w:sz w:val="20"/>
              </w:rPr>
              <w:t>Italia: 83,2 casos por millón de habitantes.</w:t>
            </w:r>
          </w:p>
          <w:p w:rsidR="00D1117D" w:rsidRPr="00D27707" w:rsidRDefault="00D1117D" w:rsidP="00D1117D">
            <w:pPr>
              <w:pStyle w:val="Prrafodelista"/>
              <w:numPr>
                <w:ilvl w:val="0"/>
                <w:numId w:val="36"/>
              </w:numPr>
              <w:spacing w:after="160" w:line="259" w:lineRule="auto"/>
              <w:jc w:val="both"/>
              <w:rPr>
                <w:rFonts w:ascii="Arial" w:hAnsi="Arial" w:cs="Arial"/>
                <w:sz w:val="20"/>
              </w:rPr>
            </w:pPr>
            <w:r w:rsidRPr="00D27707">
              <w:rPr>
                <w:rFonts w:ascii="Arial" w:hAnsi="Arial" w:cs="Arial"/>
                <w:sz w:val="20"/>
              </w:rPr>
              <w:t xml:space="preserve">Tayikistán: 77,2 casos por 1 millón de habitantes </w:t>
            </w:r>
          </w:p>
          <w:p w:rsidR="00D1117D" w:rsidRPr="00D27707" w:rsidRDefault="00D1117D" w:rsidP="00D1117D">
            <w:pPr>
              <w:jc w:val="both"/>
              <w:rPr>
                <w:rFonts w:ascii="Arial" w:hAnsi="Arial" w:cs="Arial"/>
                <w:sz w:val="20"/>
                <w:lang w:val="es-ES"/>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La región de las Américas fue la primera en ser declarada por un Comité Internacional de Expertos (CIE) como libre de los virus de la rubéola en 2015 y sarampión en 2016. </w:t>
            </w:r>
            <w:r w:rsidRPr="00D27707">
              <w:rPr>
                <w:rFonts w:ascii="Arial" w:hAnsi="Arial" w:cs="Arial"/>
                <w:sz w:val="20"/>
                <w:szCs w:val="20"/>
                <w:lang w:val="es-ES"/>
              </w:rPr>
              <w:t>Todos los casos confirmados en la Región de las Américas fueron importados de otros continentes.</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Desde enero de 2017 y hasta enero de 2018, seis países de la Región de las Américas notificaron casos confirmados de sarampión: </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Antigua y Barbuda: 1 caso</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Argentina: 3 casos</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lastRenderedPageBreak/>
              <w:t>Canadá: 45 casos</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Guatemala: 1 caso</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 xml:space="preserve">Estados Unidos: 120 casos </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Venezuela: 952 casos</w:t>
            </w:r>
          </w:p>
          <w:p w:rsidR="00D1117D" w:rsidRPr="00D27707" w:rsidRDefault="00D1117D" w:rsidP="00D1117D">
            <w:pPr>
              <w:pStyle w:val="Sinespaciado"/>
              <w:numPr>
                <w:ilvl w:val="0"/>
                <w:numId w:val="37"/>
              </w:numPr>
              <w:rPr>
                <w:rFonts w:ascii="Arial" w:hAnsi="Arial" w:cs="Arial"/>
                <w:sz w:val="20"/>
                <w:szCs w:val="20"/>
              </w:rPr>
            </w:pPr>
            <w:r w:rsidRPr="00D27707">
              <w:rPr>
                <w:rFonts w:ascii="Arial" w:hAnsi="Arial" w:cs="Arial"/>
                <w:sz w:val="20"/>
                <w:szCs w:val="20"/>
              </w:rPr>
              <w:t xml:space="preserve">Perú: 1 caso </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Para Colombia, el comportamiento del sarampión ha sido el siguiente:</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numPr>
                <w:ilvl w:val="0"/>
                <w:numId w:val="39"/>
              </w:numPr>
              <w:rPr>
                <w:rFonts w:ascii="Arial" w:hAnsi="Arial" w:cs="Arial"/>
                <w:sz w:val="20"/>
                <w:szCs w:val="20"/>
              </w:rPr>
            </w:pPr>
            <w:r w:rsidRPr="00D27707">
              <w:rPr>
                <w:rFonts w:ascii="Arial" w:hAnsi="Arial" w:cs="Arial"/>
                <w:sz w:val="20"/>
                <w:szCs w:val="20"/>
              </w:rPr>
              <w:t xml:space="preserve">16 marzo/2018. Primer caso confirmado, </w:t>
            </w:r>
            <w:proofErr w:type="gramStart"/>
            <w:r w:rsidRPr="00D27707">
              <w:rPr>
                <w:rFonts w:ascii="Arial" w:hAnsi="Arial" w:cs="Arial"/>
                <w:sz w:val="20"/>
                <w:szCs w:val="20"/>
              </w:rPr>
              <w:t>menor</w:t>
            </w:r>
            <w:proofErr w:type="gramEnd"/>
            <w:r w:rsidRPr="00D27707">
              <w:rPr>
                <w:rFonts w:ascii="Arial" w:hAnsi="Arial" w:cs="Arial"/>
                <w:sz w:val="20"/>
                <w:szCs w:val="20"/>
              </w:rPr>
              <w:t xml:space="preserve"> 14 meses de edad proveniente de Caracas, reportado en Medellín.</w:t>
            </w:r>
          </w:p>
          <w:p w:rsidR="00D1117D" w:rsidRPr="00D27707" w:rsidRDefault="00D1117D" w:rsidP="00D1117D">
            <w:pPr>
              <w:pStyle w:val="Sinespaciado"/>
              <w:ind w:left="720"/>
              <w:rPr>
                <w:rFonts w:ascii="Arial" w:hAnsi="Arial" w:cs="Arial"/>
                <w:sz w:val="20"/>
                <w:szCs w:val="20"/>
              </w:rPr>
            </w:pPr>
          </w:p>
          <w:p w:rsidR="00D1117D" w:rsidRPr="00D27707" w:rsidRDefault="00D1117D" w:rsidP="00D1117D">
            <w:pPr>
              <w:pStyle w:val="Sinespaciado"/>
              <w:numPr>
                <w:ilvl w:val="0"/>
                <w:numId w:val="39"/>
              </w:numPr>
              <w:rPr>
                <w:rFonts w:ascii="Arial" w:hAnsi="Arial" w:cs="Arial"/>
                <w:sz w:val="20"/>
                <w:szCs w:val="20"/>
              </w:rPr>
            </w:pPr>
            <w:r w:rsidRPr="00D27707">
              <w:rPr>
                <w:rFonts w:ascii="Arial" w:hAnsi="Arial" w:cs="Arial"/>
                <w:sz w:val="20"/>
                <w:szCs w:val="20"/>
              </w:rPr>
              <w:t xml:space="preserve">18 marzo/2018 Segundo caso confirmado, </w:t>
            </w:r>
            <w:proofErr w:type="gramStart"/>
            <w:r w:rsidRPr="00D27707">
              <w:rPr>
                <w:rFonts w:ascii="Arial" w:hAnsi="Arial" w:cs="Arial"/>
                <w:sz w:val="20"/>
                <w:szCs w:val="20"/>
              </w:rPr>
              <w:t>menor</w:t>
            </w:r>
            <w:proofErr w:type="gramEnd"/>
            <w:r w:rsidRPr="00D27707">
              <w:rPr>
                <w:rFonts w:ascii="Arial" w:hAnsi="Arial" w:cs="Arial"/>
                <w:sz w:val="20"/>
                <w:szCs w:val="20"/>
              </w:rPr>
              <w:t xml:space="preserve"> 10 meses de edad proveniente de Venezuela, reportado en Santa Rosa de Cabal.</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numPr>
                <w:ilvl w:val="0"/>
                <w:numId w:val="39"/>
              </w:numPr>
              <w:rPr>
                <w:rFonts w:ascii="Arial" w:hAnsi="Arial" w:cs="Arial"/>
                <w:sz w:val="20"/>
                <w:szCs w:val="20"/>
              </w:rPr>
            </w:pPr>
            <w:r w:rsidRPr="00D27707">
              <w:rPr>
                <w:rFonts w:ascii="Arial" w:hAnsi="Arial" w:cs="Arial"/>
                <w:sz w:val="20"/>
                <w:szCs w:val="20"/>
              </w:rPr>
              <w:t>22 marzo/2018. Tercer caso confirmado, menor 10 meses de edad proveniente de Venezuela, reportado municipio de Villa del Rosario (</w:t>
            </w:r>
            <w:proofErr w:type="spellStart"/>
            <w:r w:rsidRPr="00D27707">
              <w:rPr>
                <w:rFonts w:ascii="Arial" w:hAnsi="Arial" w:cs="Arial"/>
                <w:sz w:val="20"/>
                <w:szCs w:val="20"/>
              </w:rPr>
              <w:t>Nte</w:t>
            </w:r>
            <w:proofErr w:type="spellEnd"/>
            <w:r w:rsidRPr="00D27707">
              <w:rPr>
                <w:rFonts w:ascii="Arial" w:hAnsi="Arial" w:cs="Arial"/>
                <w:sz w:val="20"/>
                <w:szCs w:val="20"/>
              </w:rPr>
              <w:t xml:space="preserve"> Santander).</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Amenazas para la circulación del sarampión en Colombia:</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numPr>
                <w:ilvl w:val="0"/>
                <w:numId w:val="38"/>
              </w:numPr>
              <w:jc w:val="both"/>
              <w:rPr>
                <w:rFonts w:ascii="Arial" w:hAnsi="Arial" w:cs="Arial"/>
                <w:sz w:val="20"/>
                <w:szCs w:val="20"/>
              </w:rPr>
            </w:pPr>
            <w:r w:rsidRPr="00D27707">
              <w:rPr>
                <w:rFonts w:ascii="Arial" w:hAnsi="Arial" w:cs="Arial"/>
                <w:sz w:val="20"/>
                <w:szCs w:val="20"/>
              </w:rPr>
              <w:t>Importación de virus de sarampión y rubéola desde otras regiones del mundo, especialmente desde Venezuela en donde hay un brote activo de sarampión desde junio de 2017.</w:t>
            </w:r>
          </w:p>
          <w:p w:rsidR="00D1117D" w:rsidRPr="00D27707" w:rsidRDefault="00D1117D" w:rsidP="00D1117D">
            <w:pPr>
              <w:pStyle w:val="Sinespaciado"/>
              <w:ind w:left="720"/>
              <w:jc w:val="both"/>
              <w:rPr>
                <w:rFonts w:ascii="Arial" w:hAnsi="Arial" w:cs="Arial"/>
                <w:sz w:val="20"/>
                <w:szCs w:val="20"/>
              </w:rPr>
            </w:pPr>
          </w:p>
          <w:p w:rsidR="00D1117D" w:rsidRPr="00D27707" w:rsidRDefault="00D1117D" w:rsidP="00D1117D">
            <w:pPr>
              <w:pStyle w:val="Sinespaciado"/>
              <w:numPr>
                <w:ilvl w:val="0"/>
                <w:numId w:val="38"/>
              </w:numPr>
              <w:rPr>
                <w:rFonts w:ascii="Arial" w:hAnsi="Arial" w:cs="Arial"/>
                <w:sz w:val="20"/>
                <w:szCs w:val="20"/>
              </w:rPr>
            </w:pPr>
            <w:r w:rsidRPr="00D27707">
              <w:rPr>
                <w:rFonts w:ascii="Arial" w:hAnsi="Arial" w:cs="Arial"/>
                <w:sz w:val="20"/>
                <w:szCs w:val="20"/>
              </w:rPr>
              <w:t>Coberturas de vacunación con triple viral por debajo del 95%.</w:t>
            </w:r>
          </w:p>
          <w:p w:rsidR="00D1117D" w:rsidRPr="00D27707" w:rsidRDefault="00D1117D" w:rsidP="00D1117D">
            <w:pPr>
              <w:pStyle w:val="Prrafodelista"/>
              <w:rPr>
                <w:rFonts w:ascii="Arial" w:hAnsi="Arial" w:cs="Arial"/>
                <w:sz w:val="20"/>
              </w:rPr>
            </w:pPr>
          </w:p>
          <w:p w:rsidR="00D1117D" w:rsidRPr="00D27707" w:rsidRDefault="00D1117D" w:rsidP="00D1117D">
            <w:pPr>
              <w:pStyle w:val="Sinespaciado"/>
              <w:numPr>
                <w:ilvl w:val="0"/>
                <w:numId w:val="38"/>
              </w:numPr>
              <w:rPr>
                <w:rFonts w:ascii="Arial" w:hAnsi="Arial" w:cs="Arial"/>
                <w:sz w:val="20"/>
                <w:szCs w:val="20"/>
              </w:rPr>
            </w:pPr>
            <w:r w:rsidRPr="00D27707">
              <w:rPr>
                <w:rFonts w:ascii="Arial" w:hAnsi="Arial" w:cs="Arial"/>
                <w:sz w:val="20"/>
                <w:szCs w:val="20"/>
              </w:rPr>
              <w:t xml:space="preserve">Disminución en la notificación de casos sospechosos de sarampión-rubéola. </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numPr>
                <w:ilvl w:val="0"/>
                <w:numId w:val="38"/>
              </w:numPr>
              <w:jc w:val="both"/>
              <w:rPr>
                <w:rFonts w:ascii="Arial" w:hAnsi="Arial" w:cs="Arial"/>
                <w:sz w:val="20"/>
                <w:szCs w:val="20"/>
              </w:rPr>
            </w:pPr>
            <w:r w:rsidRPr="00D27707">
              <w:rPr>
                <w:rFonts w:ascii="Arial" w:hAnsi="Arial" w:cs="Arial"/>
                <w:sz w:val="20"/>
                <w:szCs w:val="20"/>
              </w:rPr>
              <w:t>Disminución de la inmunidad en niños &lt; 1 año sin transferencia de anticuerpos maternos y niños &lt; 6 meses que no son elegibles para vacunación.</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numPr>
                <w:ilvl w:val="0"/>
                <w:numId w:val="38"/>
              </w:numPr>
              <w:jc w:val="both"/>
              <w:rPr>
                <w:rFonts w:ascii="Arial" w:hAnsi="Arial" w:cs="Arial"/>
                <w:sz w:val="20"/>
                <w:szCs w:val="20"/>
              </w:rPr>
            </w:pPr>
            <w:r w:rsidRPr="00D27707">
              <w:rPr>
                <w:rFonts w:ascii="Arial" w:hAnsi="Arial" w:cs="Arial"/>
                <w:sz w:val="20"/>
                <w:szCs w:val="20"/>
              </w:rPr>
              <w:t>Grupos anti-vacunas que crean desconfianza.</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numPr>
                <w:ilvl w:val="0"/>
                <w:numId w:val="38"/>
              </w:numPr>
              <w:jc w:val="both"/>
              <w:rPr>
                <w:rFonts w:ascii="Arial" w:hAnsi="Arial" w:cs="Arial"/>
                <w:sz w:val="20"/>
                <w:szCs w:val="20"/>
              </w:rPr>
            </w:pPr>
            <w:r w:rsidRPr="00D27707">
              <w:rPr>
                <w:rFonts w:ascii="Arial" w:hAnsi="Arial" w:cs="Arial"/>
                <w:sz w:val="20"/>
                <w:szCs w:val="20"/>
              </w:rPr>
              <w:t>Mundial de Fútbol en Rusia.</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numPr>
                <w:ilvl w:val="0"/>
                <w:numId w:val="38"/>
              </w:numPr>
              <w:jc w:val="both"/>
              <w:rPr>
                <w:rFonts w:ascii="Arial" w:hAnsi="Arial" w:cs="Arial"/>
                <w:sz w:val="20"/>
                <w:szCs w:val="20"/>
              </w:rPr>
            </w:pPr>
            <w:r w:rsidRPr="00D27707">
              <w:rPr>
                <w:rFonts w:ascii="Arial" w:hAnsi="Arial" w:cs="Arial"/>
                <w:sz w:val="20"/>
                <w:szCs w:val="20"/>
              </w:rPr>
              <w:t>Vacaciones de semana santa, para aquellas personas que van a desplazarse a zonas donde hay circulación del virus del sarampión y por la llegada de personas al país provenientes de lugares donde hay brote activo.</w:t>
            </w:r>
          </w:p>
          <w:p w:rsidR="00D1117D" w:rsidRPr="00D27707" w:rsidRDefault="00D1117D" w:rsidP="00D1117D">
            <w:pPr>
              <w:pStyle w:val="Sinespaciado"/>
              <w:ind w:left="720"/>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b/>
                <w:sz w:val="20"/>
                <w:szCs w:val="20"/>
                <w:u w:val="single"/>
              </w:rPr>
            </w:pPr>
            <w:r w:rsidRPr="00D27707">
              <w:rPr>
                <w:rFonts w:ascii="Arial" w:hAnsi="Arial" w:cs="Arial"/>
                <w:b/>
                <w:sz w:val="20"/>
                <w:szCs w:val="20"/>
                <w:u w:val="single"/>
              </w:rPr>
              <w:t>Difteria</w:t>
            </w:r>
          </w:p>
          <w:p w:rsidR="00D1117D" w:rsidRPr="00D27707" w:rsidRDefault="00D1117D" w:rsidP="00D1117D">
            <w:pPr>
              <w:pStyle w:val="Sinespaciado"/>
              <w:jc w:val="both"/>
              <w:rPr>
                <w:rFonts w:ascii="Arial" w:hAnsi="Arial" w:cs="Arial"/>
                <w:b/>
                <w:sz w:val="20"/>
                <w:szCs w:val="20"/>
                <w:u w:val="single"/>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En 2018, hasta la semana epidemiológica 8, cuatro países (Brasil, Colombia, Haití y Venezuela) notificaron casos sospechosos y confirmados de difteria. En Brasil, durante 2017 se notificaron 40 casos sospechosos en 14 estados. De esos casos 5 fueron confirmados en cuatro estados: Acre </w:t>
            </w:r>
            <w:r w:rsidRPr="00D27707">
              <w:rPr>
                <w:rFonts w:ascii="Arial" w:hAnsi="Arial" w:cs="Arial"/>
                <w:sz w:val="20"/>
                <w:szCs w:val="20"/>
                <w:lang w:val="pt-BR"/>
              </w:rPr>
              <w:t xml:space="preserve">(1), Minas Gerais (2), Roraima (1 caso fatal, importado de Venezuela) </w:t>
            </w:r>
            <w:r w:rsidRPr="00D27707">
              <w:rPr>
                <w:rFonts w:ascii="Arial" w:hAnsi="Arial" w:cs="Arial"/>
                <w:sz w:val="20"/>
                <w:szCs w:val="20"/>
              </w:rPr>
              <w:t>y São Paulo (1); los 35 restantes fueron descartados. En la semana epidemiológica 02 de 2018 se notificó un caso sospechoso en el estado de Bahía que se encuentran en investigación.</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En Venezuela, el brote de difteria se inició en julio de 2016. Desde entonces y hasta la semana epidemiológica 05 </w:t>
            </w:r>
            <w:r w:rsidRPr="00D27707">
              <w:rPr>
                <w:rFonts w:ascii="Arial" w:hAnsi="Arial" w:cs="Arial"/>
                <w:sz w:val="20"/>
                <w:szCs w:val="20"/>
              </w:rPr>
              <w:lastRenderedPageBreak/>
              <w:t>de 2018 se notificaron un total de 969 casos probables (324 casos en 2016, 609 en 2017 y 36 en 2018), de los cuales 726 fueron confirmados por laboratorio y clínica y 113 fallecieron (17 en 2016 y 96 en 2017); tasa de letalidad 15.5 %.</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Las autoridades de salud están intensificando la vigilancia epidemiológica, investigación, atención médica y vacunación. Además, están manteniendo el entrenamiento constante del personal sanitario (en base al manual actualizado de normas, pautas y procedimientos para el manejo de la enfermedad) y la educación sanitaria.</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En Colombia, en la semana epidemiológica 07 de 2018 se notificó un caso fatal confirmado de difteria en el Departamento de La Guajira, importado de Venezuela. Se trata de un menor de 3 años de nacionalidad venezolana cuyos antecedentes de vacunación no se pudieron comprobar. El menor inició síntomas el 2 de enero de 2018 y falleció el 8 del mismo mes. El caso fue confirmado por cultivo y por la técnica de PCR-RT que resultó positiva para </w:t>
            </w:r>
            <w:proofErr w:type="spellStart"/>
            <w:r w:rsidRPr="00D27707">
              <w:rPr>
                <w:rFonts w:ascii="Arial" w:hAnsi="Arial" w:cs="Arial"/>
                <w:i/>
                <w:iCs/>
                <w:sz w:val="20"/>
                <w:szCs w:val="20"/>
              </w:rPr>
              <w:t>Corynebacterium</w:t>
            </w:r>
            <w:proofErr w:type="spellEnd"/>
            <w:r w:rsidRPr="00D27707">
              <w:rPr>
                <w:rFonts w:ascii="Arial" w:hAnsi="Arial" w:cs="Arial"/>
                <w:i/>
                <w:iCs/>
                <w:sz w:val="20"/>
                <w:szCs w:val="20"/>
              </w:rPr>
              <w:t xml:space="preserve"> </w:t>
            </w:r>
            <w:proofErr w:type="spellStart"/>
            <w:r w:rsidRPr="00D27707">
              <w:rPr>
                <w:rFonts w:ascii="Arial" w:hAnsi="Arial" w:cs="Arial"/>
                <w:i/>
                <w:iCs/>
                <w:sz w:val="20"/>
                <w:szCs w:val="20"/>
              </w:rPr>
              <w:t>diftheriae</w:t>
            </w:r>
            <w:proofErr w:type="spellEnd"/>
            <w:r w:rsidRPr="00D27707">
              <w:rPr>
                <w:rFonts w:ascii="Arial" w:hAnsi="Arial" w:cs="Arial"/>
                <w:i/>
                <w:iCs/>
                <w:sz w:val="20"/>
                <w:szCs w:val="20"/>
              </w:rPr>
              <w:t xml:space="preserve"> </w:t>
            </w:r>
            <w:r w:rsidRPr="00D27707">
              <w:rPr>
                <w:rFonts w:ascii="Arial" w:hAnsi="Arial" w:cs="Arial"/>
                <w:sz w:val="20"/>
                <w:szCs w:val="20"/>
              </w:rPr>
              <w:t>sin identificación de biotipo y toxina positiva. No se han notificado casos secundarios a este caso.</w:t>
            </w:r>
          </w:p>
          <w:p w:rsidR="00D1117D" w:rsidRPr="00D27707" w:rsidRDefault="00D1117D" w:rsidP="00D1117D">
            <w:pPr>
              <w:pStyle w:val="Sinespaciado"/>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En Haití, el brote que se inició a fines de 2014 acumula un total de 410 casos probables de difteria notificados hasta la semana epidemiológica 06 de 2018, incluidas 75 defunciones. </w:t>
            </w:r>
          </w:p>
          <w:p w:rsidR="00D1117D" w:rsidRPr="00D27707" w:rsidRDefault="00D1117D" w:rsidP="00D1117D">
            <w:pPr>
              <w:pStyle w:val="Sinespaciado"/>
              <w:jc w:val="both"/>
              <w:rPr>
                <w:rFonts w:ascii="Arial" w:hAnsi="Arial" w:cs="Arial"/>
                <w:b/>
                <w:sz w:val="20"/>
                <w:szCs w:val="20"/>
                <w:u w:val="single"/>
              </w:rPr>
            </w:pPr>
          </w:p>
          <w:p w:rsidR="00D1117D" w:rsidRPr="00D27707" w:rsidRDefault="00D1117D" w:rsidP="00D1117D">
            <w:pPr>
              <w:pStyle w:val="Sinespaciado"/>
              <w:jc w:val="both"/>
              <w:rPr>
                <w:rFonts w:ascii="Arial" w:hAnsi="Arial" w:cs="Arial"/>
                <w:b/>
                <w:sz w:val="20"/>
                <w:szCs w:val="20"/>
                <w:u w:val="single"/>
              </w:rPr>
            </w:pPr>
          </w:p>
          <w:p w:rsidR="00D1117D" w:rsidRPr="00D27707" w:rsidRDefault="00D1117D" w:rsidP="00D1117D">
            <w:pPr>
              <w:pStyle w:val="Sinespaciado"/>
              <w:jc w:val="both"/>
              <w:rPr>
                <w:rFonts w:ascii="Arial" w:hAnsi="Arial" w:cs="Arial"/>
                <w:b/>
                <w:sz w:val="20"/>
                <w:szCs w:val="20"/>
                <w:u w:val="single"/>
              </w:rPr>
            </w:pPr>
            <w:r w:rsidRPr="00D27707">
              <w:rPr>
                <w:rFonts w:ascii="Arial" w:hAnsi="Arial" w:cs="Arial"/>
                <w:b/>
                <w:sz w:val="20"/>
                <w:szCs w:val="20"/>
                <w:u w:val="single"/>
              </w:rPr>
              <w:t>Fiebre amarilla</w:t>
            </w:r>
          </w:p>
          <w:p w:rsidR="00D1117D" w:rsidRPr="00D27707" w:rsidRDefault="00D1117D" w:rsidP="00D1117D">
            <w:pPr>
              <w:pStyle w:val="Sinespaciado"/>
              <w:jc w:val="both"/>
              <w:rPr>
                <w:rFonts w:ascii="Arial" w:hAnsi="Arial" w:cs="Arial"/>
                <w:b/>
                <w:sz w:val="20"/>
                <w:szCs w:val="20"/>
                <w:u w:val="single"/>
              </w:rPr>
            </w:pPr>
          </w:p>
          <w:p w:rsidR="00D1117D" w:rsidRPr="00D27707" w:rsidRDefault="00D1117D" w:rsidP="00D1117D">
            <w:pPr>
              <w:pStyle w:val="Sinespaciado"/>
              <w:numPr>
                <w:ilvl w:val="0"/>
                <w:numId w:val="35"/>
              </w:numPr>
              <w:jc w:val="both"/>
              <w:rPr>
                <w:rFonts w:ascii="Arial" w:hAnsi="Arial" w:cs="Arial"/>
                <w:sz w:val="20"/>
                <w:szCs w:val="20"/>
              </w:rPr>
            </w:pPr>
            <w:r w:rsidRPr="00D27707">
              <w:rPr>
                <w:rFonts w:ascii="Arial" w:hAnsi="Arial" w:cs="Arial"/>
                <w:sz w:val="20"/>
                <w:szCs w:val="20"/>
              </w:rPr>
              <w:t>Durante las primeras cuatro semanas de 2018, se observó un rápido aumento en el número de casos humanos confirmados de fiebre amarilla en los estados de Río de Janeiro, São Paulo y Minas Gerais. Desde el 1 de julio a febrero 16 de 2018 se han confirmado 464 casos, de los cuales 154 fallecieron (33,1 %).</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b/>
                <w:sz w:val="20"/>
                <w:szCs w:val="20"/>
                <w:u w:val="single"/>
              </w:rPr>
            </w:pPr>
            <w:r w:rsidRPr="00D27707">
              <w:rPr>
                <w:rFonts w:ascii="Arial" w:hAnsi="Arial" w:cs="Arial"/>
                <w:b/>
                <w:sz w:val="20"/>
                <w:szCs w:val="20"/>
                <w:u w:val="single"/>
              </w:rPr>
              <w:t>IRAG</w:t>
            </w:r>
          </w:p>
          <w:p w:rsidR="00D1117D" w:rsidRPr="00D27707" w:rsidRDefault="00D1117D" w:rsidP="00D1117D">
            <w:pPr>
              <w:pStyle w:val="Sinespaciado"/>
              <w:jc w:val="both"/>
              <w:rPr>
                <w:rFonts w:ascii="Arial" w:hAnsi="Arial" w:cs="Arial"/>
                <w:b/>
                <w:sz w:val="20"/>
                <w:szCs w:val="20"/>
                <w:u w:val="single"/>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Durante las primeras cuatro semanas de 2018, se observó un rápido aumento en el número de casos humanos confirmados de fiebre amarilla en los estados de Río de Janeiro, São Paulo y Minas Gerais. Desde el 1 de julio a febrero 16 de 2018 se han confirmado 464 casos, de los cuales 154 fallecieron (33,1 %).</w:t>
            </w:r>
          </w:p>
          <w:p w:rsidR="00D1117D" w:rsidRPr="00D27707" w:rsidRDefault="00D1117D" w:rsidP="00D1117D">
            <w:pPr>
              <w:pStyle w:val="Sinespaciado"/>
              <w:ind w:left="720"/>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En Perú se notificaron tres casos probables de fiebre amarilla (semana 1 y 4), todos sin antecedente de vacunación. Hasta el momento solo se ha confirmado un caso por laboratorio. Uno de los casos falleció.</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El Ministerio de Salud Pública del Ecuador informa que a la semana epidemiológica 7 con corte al 17 de febrero de 2018, se registra una curva descendente del número de casos desde el 19 noviembre del 2017 hasta el 17 de febrero del 2018 se reportan 1.141 casos de influenza, de los cuales 1.020 corresponden a </w:t>
            </w:r>
            <w:r w:rsidRPr="00D27707">
              <w:rPr>
                <w:rFonts w:ascii="Arial" w:hAnsi="Arial" w:cs="Arial"/>
                <w:sz w:val="20"/>
                <w:szCs w:val="20"/>
                <w:lang w:val="pt-BR"/>
              </w:rPr>
              <w:t xml:space="preserve">AH1N1, 103 a AH3N2, 16 a influenza Tipo B, y 2 casos de </w:t>
            </w:r>
            <w:r w:rsidRPr="00D27707">
              <w:rPr>
                <w:rFonts w:ascii="Arial" w:hAnsi="Arial" w:cs="Arial"/>
                <w:sz w:val="20"/>
                <w:szCs w:val="20"/>
              </w:rPr>
              <w:t xml:space="preserve">influenza tipo A. </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 xml:space="preserve">De los casos reportados, el 64 % corresponden a personas dentro de la provincia de Pichincha. Del total de casos se registran 99 fallecimientos de los cuales 95 corresponden a </w:t>
            </w:r>
            <w:r w:rsidRPr="00D27707">
              <w:rPr>
                <w:rFonts w:ascii="Arial" w:hAnsi="Arial" w:cs="Arial"/>
                <w:sz w:val="20"/>
                <w:szCs w:val="20"/>
                <w:lang w:val="pt-BR"/>
              </w:rPr>
              <w:t xml:space="preserve">AH1N1 y 4 por AH3N2. </w:t>
            </w:r>
          </w:p>
          <w:p w:rsidR="00D1117D" w:rsidRPr="00D27707" w:rsidRDefault="00D1117D" w:rsidP="00D1117D">
            <w:pPr>
              <w:pStyle w:val="Sinespaciado"/>
              <w:jc w:val="both"/>
              <w:rPr>
                <w:rFonts w:ascii="Arial" w:hAnsi="Arial" w:cs="Arial"/>
                <w:sz w:val="20"/>
                <w:szCs w:val="20"/>
              </w:rPr>
            </w:pPr>
          </w:p>
          <w:p w:rsidR="00D1117D" w:rsidRPr="00D27707" w:rsidRDefault="00D1117D" w:rsidP="00D1117D">
            <w:pPr>
              <w:pStyle w:val="Sinespaciado"/>
              <w:jc w:val="both"/>
              <w:rPr>
                <w:rFonts w:ascii="Arial" w:hAnsi="Arial" w:cs="Arial"/>
                <w:sz w:val="20"/>
                <w:szCs w:val="20"/>
              </w:rPr>
            </w:pPr>
            <w:r w:rsidRPr="00D27707">
              <w:rPr>
                <w:rFonts w:ascii="Arial" w:hAnsi="Arial" w:cs="Arial"/>
                <w:sz w:val="20"/>
                <w:szCs w:val="20"/>
              </w:rPr>
              <w:t>Como principal estrategia de prevención, cerca de 2,8 millones de personas pertenecientes a grupos vulnerables, recibieron vacunación contra la influenza hasta el 1 de febrero. Gracias a esto se alcanzó una cobertura del 71,7 % de la población de riesgo a escala nacional y la campaña continuará hasta abril del 2018.</w:t>
            </w:r>
          </w:p>
          <w:p w:rsidR="0051525A" w:rsidRPr="00D27707" w:rsidRDefault="0051525A" w:rsidP="00D1117D">
            <w:pPr>
              <w:pStyle w:val="Sinespaciado"/>
              <w:jc w:val="both"/>
              <w:rPr>
                <w:rFonts w:ascii="Arial" w:hAnsi="Arial" w:cs="Arial"/>
                <w:b/>
                <w:sz w:val="20"/>
                <w:szCs w:val="20"/>
              </w:rPr>
            </w:pPr>
          </w:p>
          <w:p w:rsidR="00A757ED" w:rsidRPr="00D27707" w:rsidRDefault="0051525A" w:rsidP="00A757ED">
            <w:pPr>
              <w:pStyle w:val="Sinespaciado"/>
              <w:numPr>
                <w:ilvl w:val="0"/>
                <w:numId w:val="32"/>
              </w:numPr>
              <w:jc w:val="both"/>
              <w:rPr>
                <w:rFonts w:ascii="Arial" w:hAnsi="Arial" w:cs="Arial"/>
                <w:b/>
                <w:sz w:val="20"/>
                <w:szCs w:val="20"/>
              </w:rPr>
            </w:pPr>
            <w:r w:rsidRPr="00D27707">
              <w:rPr>
                <w:rFonts w:ascii="Arial" w:hAnsi="Arial" w:cs="Arial"/>
                <w:b/>
                <w:sz w:val="20"/>
                <w:szCs w:val="20"/>
              </w:rPr>
              <w:lastRenderedPageBreak/>
              <w:t>Gobernanza</w:t>
            </w:r>
          </w:p>
          <w:p w:rsidR="00A757ED" w:rsidRPr="00D27707" w:rsidRDefault="00D27707" w:rsidP="00A757ED">
            <w:pPr>
              <w:jc w:val="both"/>
              <w:rPr>
                <w:rFonts w:ascii="Arial" w:hAnsi="Arial" w:cs="Arial"/>
                <w:sz w:val="20"/>
                <w:lang w:val="es-ES_tradnl"/>
              </w:rPr>
            </w:pPr>
            <w:r w:rsidRPr="00D27707">
              <w:rPr>
                <w:rFonts w:ascii="Arial" w:hAnsi="Arial" w:cs="Arial"/>
                <w:sz w:val="20"/>
                <w:lang w:val="es-ES_tradnl"/>
              </w:rPr>
              <w:t>La e</w:t>
            </w:r>
            <w:r w:rsidR="00A757ED" w:rsidRPr="00D27707">
              <w:rPr>
                <w:rFonts w:ascii="Arial" w:hAnsi="Arial" w:cs="Arial"/>
                <w:sz w:val="20"/>
                <w:lang w:val="es-ES_tradnl"/>
              </w:rPr>
              <w:t xml:space="preserve">pidemióloga del equipo de Análisis de Condiciones, Calidad de Vida Salud y Enfermedad, realiza la socialización del comportamiento de los indicadores de mortalidad evitable y fecundidad del año 2017 de la localidad de Suba y la Subred Norte. </w:t>
            </w:r>
          </w:p>
          <w:p w:rsidR="00A757ED" w:rsidRPr="00D27707" w:rsidRDefault="00A757ED" w:rsidP="00A757ED">
            <w:pPr>
              <w:jc w:val="both"/>
              <w:rPr>
                <w:rFonts w:ascii="Arial" w:hAnsi="Arial" w:cs="Arial"/>
                <w:sz w:val="20"/>
                <w:lang w:val="es-ES_tradnl"/>
              </w:rPr>
            </w:pPr>
            <w:r w:rsidRPr="00D27707">
              <w:rPr>
                <w:rFonts w:ascii="Arial" w:hAnsi="Arial" w:cs="Arial"/>
                <w:sz w:val="20"/>
                <w:lang w:val="es-ES_tradnl"/>
              </w:rPr>
              <w:t>En Suba los indicadores de mortalidad materna, perinatal, infantil, menor de 5 años y la fecundidad en menores de 15 superaron la meta distrital en 2017. Respecto a 2016, el mayor incremento se presentó en el indicador de mortalidad materna (39,4%); mientras la reducción más significativa fue mortalidad por neumonía en menores de 5 años (26,1%).</w:t>
            </w:r>
          </w:p>
          <w:p w:rsidR="00A757ED" w:rsidRPr="00D27707" w:rsidRDefault="00A757ED" w:rsidP="00A757ED">
            <w:pPr>
              <w:jc w:val="both"/>
              <w:rPr>
                <w:rFonts w:ascii="Arial" w:hAnsi="Arial" w:cs="Arial"/>
                <w:sz w:val="20"/>
                <w:lang w:val="es-ES_tradnl"/>
              </w:rPr>
            </w:pPr>
            <w:r w:rsidRPr="00D27707">
              <w:rPr>
                <w:rFonts w:ascii="Arial" w:hAnsi="Arial" w:cs="Arial"/>
                <w:sz w:val="20"/>
                <w:lang w:val="es-ES_tradnl"/>
              </w:rPr>
              <w:t>Para la Subred Norte, todos los indicadores tuvieron un valor inferior a las metas distritales; excepto fecundidad en menores de 15 años (0,6 nacimientos por 1000 niñas menores de 15 años), frente a 2016 el mayor incremento se observó en mortalidad por IRA (66,7%), pasando de 1,5 a 2,5 muertes por 100</w:t>
            </w:r>
            <w:r w:rsidRPr="00D27707">
              <w:rPr>
                <w:rFonts w:ascii="Arial" w:hAnsi="Arial" w:cs="Arial"/>
                <w:color w:val="FFFFFF" w:themeColor="background1"/>
                <w:sz w:val="20"/>
                <w:lang w:val="es-ES_tradnl"/>
              </w:rPr>
              <w:t>.</w:t>
            </w:r>
            <w:r w:rsidRPr="00D27707">
              <w:rPr>
                <w:rFonts w:ascii="Arial" w:hAnsi="Arial" w:cs="Arial"/>
                <w:sz w:val="20"/>
                <w:lang w:val="es-ES_tradnl"/>
              </w:rPr>
              <w:t>000 menores de 5 años respectivamente; por el contrario la mortalidad por neumonía fue el indicador que mostró mayor reducción (21,4%) pasando de 7,0 defunciones a 5,5 muertes por 100</w:t>
            </w:r>
            <w:r w:rsidRPr="00D27707">
              <w:rPr>
                <w:rFonts w:ascii="Arial" w:hAnsi="Arial" w:cs="Arial"/>
                <w:color w:val="FFFFFF" w:themeColor="background1"/>
                <w:sz w:val="20"/>
                <w:lang w:val="es-ES_tradnl"/>
              </w:rPr>
              <w:t>.</w:t>
            </w:r>
            <w:r w:rsidRPr="00D27707">
              <w:rPr>
                <w:rFonts w:ascii="Arial" w:hAnsi="Arial" w:cs="Arial"/>
                <w:sz w:val="20"/>
                <w:lang w:val="es-ES_tradnl"/>
              </w:rPr>
              <w:t>000 menores de 5 años en 2016.</w:t>
            </w:r>
          </w:p>
          <w:p w:rsidR="00A757ED" w:rsidRPr="00D27707" w:rsidRDefault="00A757ED" w:rsidP="00A757ED">
            <w:pPr>
              <w:jc w:val="both"/>
              <w:rPr>
                <w:rFonts w:ascii="Arial" w:hAnsi="Arial" w:cs="Arial"/>
                <w:sz w:val="20"/>
                <w:lang w:val="es-ES_tradnl"/>
              </w:rPr>
            </w:pPr>
            <w:r w:rsidRPr="00D27707">
              <w:rPr>
                <w:rFonts w:ascii="Arial" w:hAnsi="Arial" w:cs="Arial"/>
                <w:sz w:val="20"/>
                <w:lang w:val="es-ES_tradnl"/>
              </w:rPr>
              <w:t>Se realiza entrega en físico de los indicadores socializados a cada uno de los asistentes, los cuales incluyen la tendencia del periodo 2012 a 2017 y el porcentaje de variación para 2016 y 2017.</w:t>
            </w:r>
          </w:p>
          <w:p w:rsidR="0051525A" w:rsidRPr="00D27707" w:rsidRDefault="00443F28" w:rsidP="00A757ED">
            <w:pPr>
              <w:pStyle w:val="Sinespaciado"/>
              <w:numPr>
                <w:ilvl w:val="0"/>
                <w:numId w:val="32"/>
              </w:numPr>
              <w:jc w:val="both"/>
              <w:rPr>
                <w:rFonts w:ascii="Arial" w:hAnsi="Arial" w:cs="Arial"/>
                <w:b/>
                <w:sz w:val="20"/>
                <w:szCs w:val="20"/>
              </w:rPr>
            </w:pPr>
            <w:r w:rsidRPr="00D27707">
              <w:rPr>
                <w:rFonts w:ascii="Arial" w:hAnsi="Arial" w:cs="Arial"/>
                <w:b/>
                <w:sz w:val="20"/>
                <w:szCs w:val="20"/>
                <w:lang w:val="es-ES_tradnl"/>
              </w:rPr>
              <w:t>SIVIGILA</w:t>
            </w:r>
          </w:p>
          <w:p w:rsidR="00443F28" w:rsidRPr="00D27707" w:rsidRDefault="00443F28" w:rsidP="00443F28">
            <w:pPr>
              <w:pStyle w:val="Sinespaciado"/>
              <w:jc w:val="both"/>
              <w:rPr>
                <w:rFonts w:ascii="Arial" w:hAnsi="Arial" w:cs="Arial"/>
                <w:b/>
                <w:sz w:val="20"/>
                <w:szCs w:val="20"/>
              </w:rPr>
            </w:pPr>
          </w:p>
          <w:p w:rsidR="00D27707" w:rsidRPr="00D27707" w:rsidRDefault="00D27707" w:rsidP="00241F6A">
            <w:pPr>
              <w:jc w:val="both"/>
              <w:rPr>
                <w:rFonts w:ascii="Arial" w:hAnsi="Arial" w:cs="Arial"/>
                <w:sz w:val="20"/>
              </w:rPr>
            </w:pPr>
            <w:r w:rsidRPr="00D27707">
              <w:rPr>
                <w:rFonts w:ascii="Arial" w:hAnsi="Arial" w:cs="Arial"/>
                <w:sz w:val="20"/>
              </w:rPr>
              <w:t>La profesional especializada de SIVIGILA hace socialización de tableros de control donde se les enfatiza en el ingreso de laboratorios a todos los eventos que ingresen confirmados por el mismo.</w:t>
            </w:r>
          </w:p>
          <w:p w:rsidR="00D1117D" w:rsidRDefault="00E30E39" w:rsidP="00D1117D">
            <w:pPr>
              <w:pStyle w:val="Sinespaciado"/>
              <w:jc w:val="both"/>
              <w:rPr>
                <w:rFonts w:ascii="Arial" w:hAnsi="Arial" w:cs="Arial"/>
                <w:sz w:val="20"/>
                <w:szCs w:val="20"/>
                <w:lang w:val="es-MX"/>
              </w:rPr>
            </w:pPr>
            <w:r>
              <w:rPr>
                <w:rFonts w:ascii="Arial" w:hAnsi="Arial" w:cs="Arial"/>
                <w:sz w:val="20"/>
                <w:szCs w:val="20"/>
                <w:lang w:val="es-MX"/>
              </w:rPr>
              <w:t>Se explica también como debe ser la georreferenciación ya que se han evidenciado fallas en la notificación de eventos colectivos, también se aclara que en los eventos individuales se debe colocar el código de la UPZ al lado de la dirección y debe ser concordante con la georreferenciación del mismo.</w:t>
            </w:r>
          </w:p>
          <w:p w:rsidR="00E30E39" w:rsidRDefault="00E30E39" w:rsidP="00D1117D">
            <w:pPr>
              <w:pStyle w:val="Sinespaciado"/>
              <w:jc w:val="both"/>
              <w:rPr>
                <w:rFonts w:ascii="Arial" w:hAnsi="Arial" w:cs="Arial"/>
                <w:sz w:val="20"/>
                <w:szCs w:val="20"/>
                <w:lang w:val="es-MX"/>
              </w:rPr>
            </w:pPr>
            <w:r>
              <w:rPr>
                <w:rFonts w:ascii="Arial" w:hAnsi="Arial" w:cs="Arial"/>
                <w:sz w:val="20"/>
                <w:szCs w:val="20"/>
                <w:lang w:val="es-MX"/>
              </w:rPr>
              <w:t xml:space="preserve">En los eventos transmitidos por vectores nunca debe ir procedencia Bogotá o zonas frías ya que los vectores son de clima cálido por lo tanto se devolverán eventos que se encuentren con esta variable mal diligenciada. </w:t>
            </w:r>
          </w:p>
          <w:p w:rsidR="0097681C" w:rsidRPr="009F20A7" w:rsidRDefault="0097681C" w:rsidP="0097681C">
            <w:pPr>
              <w:jc w:val="both"/>
              <w:rPr>
                <w:rFonts w:ascii="Arial" w:hAnsi="Arial" w:cs="Arial"/>
                <w:sz w:val="20"/>
                <w:lang w:val="es-MX"/>
              </w:rPr>
            </w:pPr>
            <w:r w:rsidRPr="009F20A7">
              <w:rPr>
                <w:rFonts w:ascii="Arial" w:hAnsi="Arial" w:cs="Arial"/>
                <w:sz w:val="20"/>
              </w:rPr>
              <w:t xml:space="preserve">A continuación se explica el proceso de SIANIESP (Sistema de Información de apoyo a la notificación e investigación de eventos de interés en salud Pública), como herramienta que usa los RIPS como fuente de información en la búsqueda activa institucional. Se habla acerca de la Resolución No. 3374 del 27 de Diciembre de 2000. «Por la cual se reglamentan los datos básicos que deben reportar los prestadores de servicios de salud y las entidades administradoras de planes de beneficios sobre los servicios de salud prestados». Se socializa la estructura de los archivos RIPS, se retroalimenta los pasos de importación de RIPS y el proceso para la generación del consolidado de búsqueda activa de transmisibles y no transmisibles. Se continúa informando a la </w:t>
            </w:r>
            <w:proofErr w:type="spellStart"/>
            <w:r w:rsidRPr="009F20A7">
              <w:rPr>
                <w:rFonts w:ascii="Arial" w:hAnsi="Arial" w:cs="Arial"/>
                <w:sz w:val="20"/>
              </w:rPr>
              <w:t>UPGD´s</w:t>
            </w:r>
            <w:proofErr w:type="spellEnd"/>
            <w:r w:rsidRPr="009F20A7">
              <w:rPr>
                <w:rFonts w:ascii="Arial" w:hAnsi="Arial" w:cs="Arial"/>
                <w:sz w:val="20"/>
              </w:rPr>
              <w:t xml:space="preserve"> la importancia de enviar la notificación semanal e inmediata de forma oportuna con calidad en el dato, para la notificación semanal las </w:t>
            </w:r>
            <w:proofErr w:type="spellStart"/>
            <w:r w:rsidRPr="009F20A7">
              <w:rPr>
                <w:rFonts w:ascii="Arial" w:hAnsi="Arial" w:cs="Arial"/>
                <w:sz w:val="20"/>
              </w:rPr>
              <w:t>UPGD´s</w:t>
            </w:r>
            <w:proofErr w:type="spellEnd"/>
            <w:r w:rsidRPr="009F20A7">
              <w:rPr>
                <w:rFonts w:ascii="Arial" w:hAnsi="Arial" w:cs="Arial"/>
                <w:sz w:val="20"/>
              </w:rPr>
              <w:t xml:space="preserve"> la deben enviar los días lunes antes de las 3:00 pm para que se considere oportuna. Se resuelven dudas acerca de las actualizaciones realizadas en el aplicativo SIVIGILA durante el año 2018. Se hace énfasis en el fortalecimiento de la notificación inmediata la cual se debe realizar todos los días incluyendo los domingos y festivos, el envío de los archivos planos de esta notificación se realiza los días lunes, miércoles, jueves y viernes antes de las 12:00 m. Se habla acerca del envío de los RIPS </w:t>
            </w:r>
            <w:proofErr w:type="spellStart"/>
            <w:r w:rsidRPr="009F20A7">
              <w:rPr>
                <w:rFonts w:ascii="Arial" w:hAnsi="Arial" w:cs="Arial"/>
                <w:sz w:val="20"/>
              </w:rPr>
              <w:t>Sianiesp</w:t>
            </w:r>
            <w:proofErr w:type="spellEnd"/>
            <w:r w:rsidRPr="009F20A7">
              <w:rPr>
                <w:rFonts w:ascii="Arial" w:hAnsi="Arial" w:cs="Arial"/>
                <w:sz w:val="20"/>
              </w:rPr>
              <w:t xml:space="preserve"> de manera mensual.</w:t>
            </w:r>
          </w:p>
          <w:p w:rsidR="0097681C" w:rsidRPr="00D27707" w:rsidRDefault="0097681C" w:rsidP="00D1117D">
            <w:pPr>
              <w:pStyle w:val="Sinespaciado"/>
              <w:jc w:val="both"/>
              <w:rPr>
                <w:rFonts w:ascii="Arial" w:hAnsi="Arial" w:cs="Arial"/>
                <w:sz w:val="20"/>
                <w:szCs w:val="20"/>
                <w:lang w:val="es-MX"/>
              </w:rPr>
            </w:pPr>
          </w:p>
          <w:p w:rsidR="0067713E" w:rsidRPr="00D27707" w:rsidRDefault="009909D2" w:rsidP="0067713E">
            <w:pPr>
              <w:jc w:val="both"/>
              <w:rPr>
                <w:rFonts w:ascii="Arial" w:hAnsi="Arial" w:cs="Arial"/>
                <w:sz w:val="20"/>
              </w:rPr>
            </w:pPr>
            <w:r w:rsidRPr="00D27707">
              <w:rPr>
                <w:rFonts w:ascii="Arial" w:hAnsi="Arial" w:cs="Arial"/>
                <w:sz w:val="20"/>
              </w:rPr>
              <w:t xml:space="preserve">. </w:t>
            </w:r>
          </w:p>
          <w:p w:rsidR="00CA7085" w:rsidRPr="00D27707" w:rsidRDefault="00CA7085">
            <w:pPr>
              <w:rPr>
                <w:rFonts w:ascii="Arial" w:hAnsi="Arial" w:cs="Arial"/>
                <w:b/>
                <w:sz w:val="20"/>
              </w:rPr>
            </w:pPr>
          </w:p>
        </w:tc>
      </w:tr>
      <w:tr w:rsidR="00CA7085" w:rsidRPr="00D27707">
        <w:trPr>
          <w:trHeight w:val="382"/>
        </w:trPr>
        <w:tc>
          <w:tcPr>
            <w:tcW w:w="10321"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rPr>
                <w:rFonts w:ascii="Arial" w:hAnsi="Arial" w:cs="Arial"/>
                <w:sz w:val="20"/>
              </w:rPr>
            </w:pPr>
            <w:r w:rsidRPr="00D27707">
              <w:rPr>
                <w:rFonts w:ascii="Arial" w:hAnsi="Arial" w:cs="Arial"/>
                <w:b/>
                <w:sz w:val="20"/>
              </w:rPr>
              <w:lastRenderedPageBreak/>
              <w:t>DECISIONES Y CONCLUSIONES</w:t>
            </w:r>
          </w:p>
        </w:tc>
      </w:tr>
      <w:tr w:rsidR="00CA7085" w:rsidRPr="00D27707">
        <w:trPr>
          <w:trHeight w:val="1629"/>
        </w:trPr>
        <w:tc>
          <w:tcPr>
            <w:tcW w:w="10321"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A7085">
            <w:pPr>
              <w:rPr>
                <w:rFonts w:ascii="Arial" w:hAnsi="Arial" w:cs="Arial"/>
                <w:b/>
                <w:sz w:val="20"/>
              </w:rPr>
            </w:pPr>
          </w:p>
          <w:p w:rsidR="00CA7085" w:rsidRPr="00D27707" w:rsidRDefault="00F87FF2" w:rsidP="00443F28">
            <w:pPr>
              <w:spacing w:line="360" w:lineRule="auto"/>
              <w:jc w:val="both"/>
              <w:rPr>
                <w:rFonts w:ascii="Arial" w:hAnsi="Arial" w:cs="Arial"/>
                <w:sz w:val="20"/>
              </w:rPr>
            </w:pPr>
            <w:r w:rsidRPr="00D27707">
              <w:rPr>
                <w:rFonts w:ascii="Arial" w:hAnsi="Arial" w:cs="Arial"/>
                <w:sz w:val="20"/>
              </w:rPr>
              <w:t xml:space="preserve">Desde los subsistemas de Salud Mental  se socializaron los resultados de los eventos en la localidad </w:t>
            </w:r>
            <w:r w:rsidR="00086562">
              <w:rPr>
                <w:rFonts w:ascii="Arial" w:hAnsi="Arial" w:cs="Arial"/>
                <w:sz w:val="20"/>
              </w:rPr>
              <w:t xml:space="preserve">Suba </w:t>
            </w:r>
            <w:bookmarkStart w:id="1" w:name="_GoBack"/>
            <w:bookmarkEnd w:id="1"/>
            <w:r w:rsidRPr="00D27707">
              <w:rPr>
                <w:rFonts w:ascii="Arial" w:hAnsi="Arial" w:cs="Arial"/>
                <w:sz w:val="20"/>
              </w:rPr>
              <w:t>junto con su notificación y comportamiento del 2017, se aclararon conceptos en los formatos de notificación  y actualización de datos.</w:t>
            </w:r>
          </w:p>
          <w:p w:rsidR="00241F6A" w:rsidRPr="00D27707" w:rsidRDefault="00241F6A" w:rsidP="00443F28">
            <w:pPr>
              <w:spacing w:line="360" w:lineRule="auto"/>
              <w:jc w:val="both"/>
              <w:rPr>
                <w:rFonts w:ascii="Arial" w:hAnsi="Arial" w:cs="Arial"/>
                <w:sz w:val="20"/>
              </w:rPr>
            </w:pPr>
          </w:p>
        </w:tc>
      </w:tr>
    </w:tbl>
    <w:p w:rsidR="00CA7085" w:rsidRPr="00D27707" w:rsidRDefault="00CA7085">
      <w:pPr>
        <w:jc w:val="both"/>
        <w:rPr>
          <w:rFonts w:ascii="Arial" w:hAnsi="Arial" w:cs="Arial"/>
          <w:sz w:val="20"/>
        </w:rPr>
      </w:pPr>
    </w:p>
    <w:tbl>
      <w:tblPr>
        <w:tblW w:w="10349" w:type="dxa"/>
        <w:tblInd w:w="-357"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5165"/>
        <w:gridCol w:w="2668"/>
        <w:gridCol w:w="2516"/>
      </w:tblGrid>
      <w:tr w:rsidR="00CA7085" w:rsidRPr="00D27707" w:rsidTr="00D623C5">
        <w:trPr>
          <w:trHeight w:val="382"/>
        </w:trPr>
        <w:tc>
          <w:tcPr>
            <w:tcW w:w="5165"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4B4D73" w:rsidRDefault="004B4D73">
            <w:pPr>
              <w:jc w:val="center"/>
              <w:rPr>
                <w:rFonts w:ascii="Arial" w:hAnsi="Arial" w:cs="Arial"/>
                <w:b/>
                <w:sz w:val="20"/>
              </w:rPr>
            </w:pPr>
          </w:p>
          <w:p w:rsidR="00CA7085" w:rsidRPr="00D27707" w:rsidRDefault="00C402B7">
            <w:pPr>
              <w:jc w:val="center"/>
              <w:rPr>
                <w:rFonts w:ascii="Arial" w:hAnsi="Arial" w:cs="Arial"/>
                <w:sz w:val="20"/>
              </w:rPr>
            </w:pPr>
            <w:r w:rsidRPr="00D27707">
              <w:rPr>
                <w:rFonts w:ascii="Arial" w:hAnsi="Arial" w:cs="Arial"/>
                <w:b/>
                <w:sz w:val="20"/>
              </w:rPr>
              <w:t>COMPROMISOS Y TAREAS A REALIZAR</w:t>
            </w:r>
          </w:p>
        </w:tc>
        <w:tc>
          <w:tcPr>
            <w:tcW w:w="2668"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jc w:val="center"/>
              <w:rPr>
                <w:rFonts w:ascii="Arial" w:hAnsi="Arial" w:cs="Arial"/>
                <w:sz w:val="20"/>
              </w:rPr>
            </w:pPr>
            <w:r w:rsidRPr="00D27707">
              <w:rPr>
                <w:rFonts w:ascii="Arial" w:hAnsi="Arial" w:cs="Arial"/>
                <w:b/>
                <w:sz w:val="20"/>
              </w:rPr>
              <w:t>RESPONSABLE</w:t>
            </w:r>
          </w:p>
        </w:tc>
        <w:tc>
          <w:tcPr>
            <w:tcW w:w="2516"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D27707" w:rsidRDefault="00C402B7">
            <w:pPr>
              <w:jc w:val="center"/>
              <w:rPr>
                <w:rFonts w:ascii="Arial" w:hAnsi="Arial" w:cs="Arial"/>
                <w:b/>
                <w:sz w:val="20"/>
              </w:rPr>
            </w:pPr>
            <w:r w:rsidRPr="00D27707">
              <w:rPr>
                <w:rFonts w:ascii="Arial" w:hAnsi="Arial" w:cs="Arial"/>
                <w:b/>
                <w:sz w:val="20"/>
              </w:rPr>
              <w:t>FECHA</w:t>
            </w:r>
          </w:p>
        </w:tc>
      </w:tr>
      <w:tr w:rsidR="00CA7085" w:rsidRPr="00D27707" w:rsidTr="00D623C5">
        <w:trPr>
          <w:trHeight w:val="391"/>
        </w:trPr>
        <w:tc>
          <w:tcPr>
            <w:tcW w:w="5165" w:type="dxa"/>
            <w:tcBorders>
              <w:top w:val="double" w:sz="4" w:space="0" w:color="00000A"/>
              <w:left w:val="double" w:sz="4" w:space="0" w:color="00000A"/>
              <w:bottom w:val="single" w:sz="4" w:space="0" w:color="00000A"/>
              <w:right w:val="single" w:sz="4" w:space="0" w:color="00000A"/>
            </w:tcBorders>
            <w:shd w:val="clear" w:color="auto" w:fill="auto"/>
            <w:tcMar>
              <w:left w:w="69" w:type="dxa"/>
            </w:tcMar>
          </w:tcPr>
          <w:p w:rsidR="00CA7085" w:rsidRPr="00D27707" w:rsidRDefault="00C402B7" w:rsidP="00B9253C">
            <w:pPr>
              <w:tabs>
                <w:tab w:val="left" w:pos="3992"/>
              </w:tabs>
              <w:rPr>
                <w:rFonts w:ascii="Arial" w:hAnsi="Arial" w:cs="Arial"/>
                <w:sz w:val="20"/>
              </w:rPr>
            </w:pPr>
            <w:r w:rsidRPr="00D27707">
              <w:rPr>
                <w:rFonts w:ascii="Arial" w:hAnsi="Arial" w:cs="Arial"/>
                <w:sz w:val="20"/>
              </w:rPr>
              <w:tab/>
            </w:r>
            <w:r w:rsidR="0067713E" w:rsidRPr="00D27707">
              <w:rPr>
                <w:rFonts w:ascii="Arial" w:hAnsi="Arial" w:cs="Arial"/>
                <w:sz w:val="20"/>
              </w:rPr>
              <w:t xml:space="preserve">Notificación de eventos de </w:t>
            </w:r>
            <w:r w:rsidR="00B9253C" w:rsidRPr="00D27707">
              <w:rPr>
                <w:rFonts w:ascii="Arial" w:hAnsi="Arial" w:cs="Arial"/>
                <w:sz w:val="20"/>
              </w:rPr>
              <w:t xml:space="preserve">oportunamente y con a precritica necesaria </w:t>
            </w:r>
          </w:p>
        </w:tc>
        <w:tc>
          <w:tcPr>
            <w:tcW w:w="2668" w:type="dxa"/>
            <w:tcBorders>
              <w:top w:val="double" w:sz="4" w:space="0" w:color="00000A"/>
              <w:left w:val="single" w:sz="4" w:space="0" w:color="00000A"/>
              <w:bottom w:val="single" w:sz="4" w:space="0" w:color="00000A"/>
              <w:right w:val="single" w:sz="4" w:space="0" w:color="00000A"/>
            </w:tcBorders>
            <w:shd w:val="clear" w:color="auto" w:fill="auto"/>
            <w:tcMar>
              <w:left w:w="79" w:type="dxa"/>
            </w:tcMar>
          </w:tcPr>
          <w:p w:rsidR="00CA7085" w:rsidRPr="00D27707" w:rsidRDefault="0067713E">
            <w:pPr>
              <w:rPr>
                <w:rFonts w:ascii="Arial" w:hAnsi="Arial" w:cs="Arial"/>
                <w:sz w:val="20"/>
              </w:rPr>
            </w:pPr>
            <w:r w:rsidRPr="00D27707">
              <w:rPr>
                <w:rFonts w:ascii="Arial" w:hAnsi="Arial" w:cs="Arial"/>
                <w:sz w:val="20"/>
              </w:rPr>
              <w:t>Las UPGD de la localidad de Usaquén</w:t>
            </w:r>
          </w:p>
        </w:tc>
        <w:tc>
          <w:tcPr>
            <w:tcW w:w="2516" w:type="dxa"/>
            <w:tcBorders>
              <w:top w:val="double" w:sz="4" w:space="0" w:color="00000A"/>
              <w:left w:val="single" w:sz="4" w:space="0" w:color="00000A"/>
              <w:bottom w:val="single" w:sz="4" w:space="0" w:color="00000A"/>
              <w:right w:val="double" w:sz="4" w:space="0" w:color="00000A"/>
            </w:tcBorders>
            <w:shd w:val="clear" w:color="auto" w:fill="auto"/>
            <w:tcMar>
              <w:left w:w="79" w:type="dxa"/>
            </w:tcMar>
          </w:tcPr>
          <w:p w:rsidR="00CA7085" w:rsidRPr="00D27707" w:rsidRDefault="0067713E">
            <w:pPr>
              <w:rPr>
                <w:rFonts w:ascii="Arial" w:hAnsi="Arial" w:cs="Arial"/>
                <w:sz w:val="20"/>
              </w:rPr>
            </w:pPr>
            <w:r w:rsidRPr="00D27707">
              <w:rPr>
                <w:rFonts w:ascii="Arial" w:hAnsi="Arial" w:cs="Arial"/>
                <w:sz w:val="20"/>
              </w:rPr>
              <w:t>A partir de la fecha semanalmente</w:t>
            </w:r>
          </w:p>
        </w:tc>
      </w:tr>
      <w:tr w:rsidR="00CA7085" w:rsidRPr="00D27707" w:rsidTr="00D623C5">
        <w:trPr>
          <w:trHeight w:val="461"/>
        </w:trPr>
        <w:tc>
          <w:tcPr>
            <w:tcW w:w="5165"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D27707" w:rsidRDefault="00CA7085">
            <w:pPr>
              <w:rPr>
                <w:rFonts w:ascii="Arial" w:hAnsi="Arial" w:cs="Arial"/>
                <w:sz w:val="20"/>
              </w:rPr>
            </w:pPr>
          </w:p>
        </w:tc>
        <w:tc>
          <w:tcPr>
            <w:tcW w:w="2668"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D27707" w:rsidRDefault="00CA7085">
            <w:pPr>
              <w:rPr>
                <w:rFonts w:ascii="Arial" w:hAnsi="Arial" w:cs="Arial"/>
                <w:sz w:val="20"/>
              </w:rPr>
            </w:pPr>
          </w:p>
        </w:tc>
        <w:tc>
          <w:tcPr>
            <w:tcW w:w="2516"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D27707" w:rsidRDefault="00CA7085">
            <w:pPr>
              <w:rPr>
                <w:rFonts w:ascii="Arial" w:hAnsi="Arial" w:cs="Arial"/>
                <w:b/>
                <w:sz w:val="20"/>
              </w:rPr>
            </w:pPr>
          </w:p>
        </w:tc>
      </w:tr>
      <w:tr w:rsidR="00CA7085" w:rsidRPr="00506F58" w:rsidTr="00D623C5">
        <w:trPr>
          <w:trHeight w:val="425"/>
        </w:trPr>
        <w:tc>
          <w:tcPr>
            <w:tcW w:w="5165"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2668"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2516"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b/>
                <w:sz w:val="20"/>
              </w:rPr>
            </w:pPr>
          </w:p>
        </w:tc>
      </w:tr>
    </w:tbl>
    <w:p w:rsidR="00CA7085" w:rsidRPr="00506F58" w:rsidRDefault="00CA7085">
      <w:pPr>
        <w:jc w:val="both"/>
        <w:rPr>
          <w:rFonts w:ascii="Arial" w:hAnsi="Arial" w:cs="Arial"/>
          <w:sz w:val="20"/>
        </w:rPr>
      </w:pPr>
    </w:p>
    <w:p w:rsidR="00CA7085" w:rsidRPr="00506F58" w:rsidRDefault="00CA7085">
      <w:pPr>
        <w:jc w:val="both"/>
        <w:rPr>
          <w:rFonts w:ascii="Arial" w:hAnsi="Arial" w:cs="Arial"/>
          <w:sz w:val="20"/>
        </w:rPr>
      </w:pPr>
    </w:p>
    <w:p w:rsidR="00401301" w:rsidRPr="00506F58" w:rsidRDefault="00401301">
      <w:pPr>
        <w:jc w:val="both"/>
        <w:rPr>
          <w:rFonts w:ascii="Arial" w:hAnsi="Arial" w:cs="Arial"/>
          <w:sz w:val="20"/>
        </w:rPr>
      </w:pPr>
    </w:p>
    <w:p w:rsidR="00401301" w:rsidRPr="00506F58" w:rsidRDefault="00401301">
      <w:pPr>
        <w:jc w:val="both"/>
        <w:rPr>
          <w:rFonts w:ascii="Arial" w:hAnsi="Arial" w:cs="Arial"/>
          <w:sz w:val="20"/>
        </w:rPr>
      </w:pPr>
    </w:p>
    <w:tbl>
      <w:tblPr>
        <w:tblW w:w="10349" w:type="dxa"/>
        <w:tblInd w:w="-357"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9" w:type="dxa"/>
          <w:right w:w="70" w:type="dxa"/>
        </w:tblCellMar>
        <w:tblLook w:val="0000" w:firstRow="0" w:lastRow="0" w:firstColumn="0" w:lastColumn="0" w:noHBand="0" w:noVBand="0"/>
      </w:tblPr>
      <w:tblGrid>
        <w:gridCol w:w="3449"/>
        <w:gridCol w:w="3450"/>
        <w:gridCol w:w="3450"/>
      </w:tblGrid>
      <w:tr w:rsidR="00CA7085" w:rsidRPr="00506F58">
        <w:trPr>
          <w:trHeight w:val="382"/>
        </w:trPr>
        <w:tc>
          <w:tcPr>
            <w:tcW w:w="10349" w:type="dxa"/>
            <w:gridSpan w:val="3"/>
            <w:tcBorders>
              <w:top w:val="double" w:sz="4" w:space="0" w:color="00000A"/>
              <w:left w:val="double" w:sz="4" w:space="0" w:color="00000A"/>
              <w:bottom w:val="double" w:sz="4" w:space="0" w:color="00000A"/>
              <w:right w:val="double" w:sz="4" w:space="0" w:color="00000A"/>
            </w:tcBorders>
            <w:shd w:val="clear" w:color="auto" w:fill="auto"/>
            <w:tcMar>
              <w:left w:w="69" w:type="dxa"/>
            </w:tcMar>
            <w:vAlign w:val="center"/>
          </w:tcPr>
          <w:p w:rsidR="00CA7085" w:rsidRPr="00506F58" w:rsidRDefault="00C402B7">
            <w:pPr>
              <w:rPr>
                <w:rFonts w:ascii="Arial" w:hAnsi="Arial" w:cs="Arial"/>
                <w:sz w:val="20"/>
              </w:rPr>
            </w:pPr>
            <w:r w:rsidRPr="00506F58">
              <w:rPr>
                <w:rFonts w:ascii="Arial" w:hAnsi="Arial" w:cs="Arial"/>
                <w:b/>
                <w:sz w:val="20"/>
              </w:rPr>
              <w:t>FIRMAS DE LOS ASISTENTES</w:t>
            </w:r>
          </w:p>
        </w:tc>
      </w:tr>
      <w:tr w:rsidR="00CA7085" w:rsidRPr="00506F58">
        <w:trPr>
          <w:trHeight w:val="357"/>
        </w:trPr>
        <w:tc>
          <w:tcPr>
            <w:tcW w:w="3449"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506F58" w:rsidRDefault="00C402B7">
            <w:pPr>
              <w:jc w:val="center"/>
              <w:rPr>
                <w:rFonts w:ascii="Arial" w:hAnsi="Arial" w:cs="Arial"/>
                <w:b/>
                <w:sz w:val="20"/>
              </w:rPr>
            </w:pPr>
            <w:r w:rsidRPr="00506F58">
              <w:rPr>
                <w:rFonts w:ascii="Arial" w:hAnsi="Arial" w:cs="Arial"/>
                <w:b/>
                <w:sz w:val="20"/>
              </w:rPr>
              <w:t>NOMBRE</w:t>
            </w:r>
          </w:p>
        </w:tc>
        <w:tc>
          <w:tcPr>
            <w:tcW w:w="345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506F58" w:rsidRDefault="00C402B7">
            <w:pPr>
              <w:jc w:val="center"/>
              <w:rPr>
                <w:rFonts w:ascii="Arial" w:hAnsi="Arial" w:cs="Arial"/>
                <w:b/>
                <w:sz w:val="20"/>
              </w:rPr>
            </w:pPr>
            <w:r w:rsidRPr="00506F58">
              <w:rPr>
                <w:rFonts w:ascii="Arial" w:hAnsi="Arial" w:cs="Arial"/>
                <w:b/>
                <w:sz w:val="20"/>
              </w:rPr>
              <w:t>FIRMA</w:t>
            </w:r>
          </w:p>
        </w:tc>
        <w:tc>
          <w:tcPr>
            <w:tcW w:w="3450" w:type="dxa"/>
            <w:tcBorders>
              <w:top w:val="double" w:sz="4" w:space="0" w:color="00000A"/>
              <w:left w:val="double" w:sz="4" w:space="0" w:color="00000A"/>
              <w:bottom w:val="double" w:sz="4" w:space="0" w:color="00000A"/>
              <w:right w:val="double" w:sz="4" w:space="0" w:color="00000A"/>
            </w:tcBorders>
            <w:shd w:val="clear" w:color="auto" w:fill="auto"/>
            <w:tcMar>
              <w:left w:w="69" w:type="dxa"/>
            </w:tcMar>
          </w:tcPr>
          <w:p w:rsidR="00CA7085" w:rsidRPr="00506F58" w:rsidRDefault="00C402B7">
            <w:pPr>
              <w:jc w:val="center"/>
              <w:rPr>
                <w:rFonts w:ascii="Arial" w:hAnsi="Arial" w:cs="Arial"/>
                <w:b/>
                <w:sz w:val="20"/>
              </w:rPr>
            </w:pPr>
            <w:r w:rsidRPr="00506F58">
              <w:rPr>
                <w:rFonts w:ascii="Arial" w:hAnsi="Arial" w:cs="Arial"/>
                <w:b/>
                <w:sz w:val="20"/>
              </w:rPr>
              <w:t>CORREO ELECTRONICO</w:t>
            </w:r>
          </w:p>
        </w:tc>
      </w:tr>
      <w:tr w:rsidR="00CA7085" w:rsidRPr="00506F58">
        <w:trPr>
          <w:trHeight w:val="355"/>
        </w:trPr>
        <w:tc>
          <w:tcPr>
            <w:tcW w:w="3449" w:type="dxa"/>
            <w:tcBorders>
              <w:top w:val="doub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254572">
            <w:pPr>
              <w:rPr>
                <w:rFonts w:ascii="Arial" w:hAnsi="Arial" w:cs="Arial"/>
                <w:sz w:val="20"/>
              </w:rPr>
            </w:pPr>
            <w:r w:rsidRPr="00506F58">
              <w:rPr>
                <w:rFonts w:ascii="Arial" w:hAnsi="Arial" w:cs="Arial"/>
                <w:sz w:val="20"/>
              </w:rPr>
              <w:t>SE ANEXA LISTADOS DE ASISTENCIAS</w:t>
            </w:r>
          </w:p>
        </w:tc>
        <w:tc>
          <w:tcPr>
            <w:tcW w:w="3450" w:type="dxa"/>
            <w:tcBorders>
              <w:top w:val="doub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doub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sing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sing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r w:rsidR="00CA7085" w:rsidRPr="00506F58">
        <w:trPr>
          <w:trHeight w:val="355"/>
        </w:trPr>
        <w:tc>
          <w:tcPr>
            <w:tcW w:w="3449" w:type="dxa"/>
            <w:tcBorders>
              <w:top w:val="single" w:sz="4" w:space="0" w:color="00000A"/>
              <w:left w:val="double" w:sz="4" w:space="0" w:color="00000A"/>
              <w:bottom w:val="double" w:sz="4" w:space="0" w:color="00000A"/>
              <w:right w:val="single" w:sz="4" w:space="0" w:color="00000A"/>
            </w:tcBorders>
            <w:shd w:val="clear" w:color="auto" w:fill="auto"/>
            <w:tcMar>
              <w:left w:w="6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double" w:sz="4" w:space="0" w:color="00000A"/>
              <w:right w:val="single" w:sz="4" w:space="0" w:color="00000A"/>
            </w:tcBorders>
            <w:shd w:val="clear" w:color="auto" w:fill="auto"/>
            <w:tcMar>
              <w:left w:w="79" w:type="dxa"/>
            </w:tcMar>
          </w:tcPr>
          <w:p w:rsidR="00CA7085" w:rsidRPr="00506F58" w:rsidRDefault="00CA7085">
            <w:pPr>
              <w:rPr>
                <w:rFonts w:ascii="Arial" w:hAnsi="Arial" w:cs="Arial"/>
                <w:sz w:val="20"/>
              </w:rPr>
            </w:pPr>
          </w:p>
        </w:tc>
        <w:tc>
          <w:tcPr>
            <w:tcW w:w="3450" w:type="dxa"/>
            <w:tcBorders>
              <w:top w:val="single" w:sz="4" w:space="0" w:color="00000A"/>
              <w:left w:val="single" w:sz="4" w:space="0" w:color="00000A"/>
              <w:bottom w:val="double" w:sz="4" w:space="0" w:color="00000A"/>
              <w:right w:val="double" w:sz="4" w:space="0" w:color="00000A"/>
            </w:tcBorders>
            <w:shd w:val="clear" w:color="auto" w:fill="auto"/>
            <w:tcMar>
              <w:left w:w="79" w:type="dxa"/>
            </w:tcMar>
          </w:tcPr>
          <w:p w:rsidR="00CA7085" w:rsidRPr="00506F58" w:rsidRDefault="00CA7085">
            <w:pPr>
              <w:rPr>
                <w:rFonts w:ascii="Arial" w:hAnsi="Arial" w:cs="Arial"/>
                <w:sz w:val="20"/>
              </w:rPr>
            </w:pPr>
          </w:p>
        </w:tc>
      </w:tr>
    </w:tbl>
    <w:p w:rsidR="00CA7085" w:rsidRPr="00506F58" w:rsidRDefault="00CA7085">
      <w:pPr>
        <w:jc w:val="both"/>
        <w:rPr>
          <w:rFonts w:ascii="Arial" w:hAnsi="Arial" w:cs="Arial"/>
          <w:sz w:val="20"/>
        </w:rPr>
      </w:pPr>
    </w:p>
    <w:p w:rsidR="00C4783A" w:rsidRDefault="00C4783A">
      <w:pPr>
        <w:jc w:val="both"/>
      </w:pPr>
    </w:p>
    <w:p w:rsidR="00C4783A" w:rsidRDefault="00C4783A">
      <w:pPr>
        <w:jc w:val="both"/>
      </w:pPr>
    </w:p>
    <w:p w:rsidR="0070047A" w:rsidRDefault="00A571E1">
      <w:pPr>
        <w:jc w:val="both"/>
      </w:pPr>
      <w:r>
        <w:rPr>
          <w:noProof/>
          <w:lang w:val="es-MX" w:eastAsia="es-MX"/>
        </w:rPr>
        <w:lastRenderedPageBreak/>
        <w:drawing>
          <wp:inline distT="0" distB="0" distL="0" distR="0">
            <wp:extent cx="5962650" cy="4419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4419600"/>
                    </a:xfrm>
                    <a:prstGeom prst="rect">
                      <a:avLst/>
                    </a:prstGeom>
                    <a:noFill/>
                    <a:ln>
                      <a:noFill/>
                    </a:ln>
                  </pic:spPr>
                </pic:pic>
              </a:graphicData>
            </a:graphic>
          </wp:inline>
        </w:drawing>
      </w:r>
    </w:p>
    <w:p w:rsidR="00A571E1" w:rsidRDefault="00A571E1">
      <w:pPr>
        <w:jc w:val="both"/>
      </w:pPr>
      <w:r>
        <w:rPr>
          <w:noProof/>
          <w:lang w:val="es-MX" w:eastAsia="es-MX"/>
        </w:rPr>
        <w:lastRenderedPageBreak/>
        <w:drawing>
          <wp:inline distT="0" distB="0" distL="0" distR="0">
            <wp:extent cx="5972175" cy="3895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3895725"/>
                    </a:xfrm>
                    <a:prstGeom prst="rect">
                      <a:avLst/>
                    </a:prstGeom>
                    <a:noFill/>
                    <a:ln>
                      <a:noFill/>
                    </a:ln>
                  </pic:spPr>
                </pic:pic>
              </a:graphicData>
            </a:graphic>
          </wp:inline>
        </w:drawing>
      </w:r>
    </w:p>
    <w:p w:rsidR="00A571E1" w:rsidRDefault="00A571E1">
      <w:pPr>
        <w:jc w:val="both"/>
      </w:pPr>
    </w:p>
    <w:p w:rsidR="00A571E1" w:rsidRDefault="00A571E1">
      <w:pPr>
        <w:jc w:val="both"/>
      </w:pPr>
      <w:r>
        <w:rPr>
          <w:noProof/>
          <w:lang w:val="es-MX" w:eastAsia="es-MX"/>
        </w:rPr>
        <w:lastRenderedPageBreak/>
        <w:drawing>
          <wp:inline distT="0" distB="0" distL="0" distR="0">
            <wp:extent cx="5972175" cy="3533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3533775"/>
                    </a:xfrm>
                    <a:prstGeom prst="rect">
                      <a:avLst/>
                    </a:prstGeom>
                    <a:noFill/>
                    <a:ln>
                      <a:noFill/>
                    </a:ln>
                  </pic:spPr>
                </pic:pic>
              </a:graphicData>
            </a:graphic>
          </wp:inline>
        </w:drawing>
      </w:r>
    </w:p>
    <w:p w:rsidR="0070047A" w:rsidRDefault="0070047A">
      <w:pPr>
        <w:jc w:val="both"/>
      </w:pPr>
    </w:p>
    <w:p w:rsidR="0070047A" w:rsidRDefault="0070047A">
      <w:pPr>
        <w:jc w:val="both"/>
      </w:pPr>
    </w:p>
    <w:p w:rsidR="0070047A" w:rsidRDefault="0070047A">
      <w:pPr>
        <w:jc w:val="both"/>
      </w:pPr>
    </w:p>
    <w:p w:rsidR="0070047A" w:rsidRDefault="0070047A">
      <w:pPr>
        <w:jc w:val="both"/>
      </w:pPr>
    </w:p>
    <w:p w:rsidR="0070047A" w:rsidRDefault="0070047A">
      <w:pPr>
        <w:jc w:val="both"/>
      </w:pPr>
    </w:p>
    <w:p w:rsidR="0070047A" w:rsidRDefault="0070047A">
      <w:pPr>
        <w:jc w:val="both"/>
      </w:pPr>
    </w:p>
    <w:p w:rsidR="00C4783A" w:rsidRDefault="00C4783A">
      <w:pPr>
        <w:jc w:val="both"/>
      </w:pPr>
    </w:p>
    <w:p w:rsidR="00C4783A" w:rsidRDefault="00C4783A">
      <w:pPr>
        <w:jc w:val="both"/>
      </w:pPr>
    </w:p>
    <w:p w:rsidR="00265EBA" w:rsidRDefault="00265EBA">
      <w:pPr>
        <w:jc w:val="both"/>
      </w:pPr>
    </w:p>
    <w:p w:rsidR="00265EBA" w:rsidRDefault="00265EBA">
      <w:pPr>
        <w:jc w:val="both"/>
      </w:pPr>
    </w:p>
    <w:p w:rsidR="00265EBA" w:rsidRDefault="00265EBA">
      <w:pPr>
        <w:jc w:val="both"/>
      </w:pPr>
    </w:p>
    <w:p w:rsidR="00265EBA" w:rsidRDefault="00265EBA">
      <w:pPr>
        <w:jc w:val="both"/>
      </w:pPr>
    </w:p>
    <w:sectPr w:rsidR="00265EBA">
      <w:headerReference w:type="default" r:id="rId12"/>
      <w:footerReference w:type="default" r:id="rId13"/>
      <w:pgSz w:w="12240" w:h="15840"/>
      <w:pgMar w:top="1701" w:right="1418" w:bottom="1701" w:left="1418" w:header="851" w:footer="51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72" w:rsidRDefault="003C4F72">
      <w:r>
        <w:separator/>
      </w:r>
    </w:p>
  </w:endnote>
  <w:endnote w:type="continuationSeparator" w:id="0">
    <w:p w:rsidR="003C4F72" w:rsidRDefault="003C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085" w:rsidRDefault="00C402B7">
    <w:pPr>
      <w:pStyle w:val="Piedepgina"/>
    </w:pPr>
    <w:r>
      <w:rPr>
        <w:noProof/>
        <w:lang w:val="es-MX" w:eastAsia="es-MX"/>
      </w:rPr>
      <w:drawing>
        <wp:anchor distT="0" distB="0" distL="114300" distR="114300" simplePos="0" relativeHeight="29" behindDoc="1" locked="0" layoutInCell="1" allowOverlap="1">
          <wp:simplePos x="0" y="0"/>
          <wp:positionH relativeFrom="margin">
            <wp:posOffset>-299085</wp:posOffset>
          </wp:positionH>
          <wp:positionV relativeFrom="paragraph">
            <wp:posOffset>129540</wp:posOffset>
          </wp:positionV>
          <wp:extent cx="6557010" cy="771525"/>
          <wp:effectExtent l="0" t="0" r="0" b="0"/>
          <wp:wrapSquare wrapText="bothSides"/>
          <wp:docPr id="6" name="Imagen 4" descr="C:\comunicaciones\Backcup\Subred Integrada Norte\Logos\Pie de págin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C:\comunicaciones\Backcup\Subred Integrada Norte\Logos\Pie de página Carta..png"/>
                  <pic:cNvPicPr>
                    <a:picLocks noChangeAspect="1" noChangeArrowheads="1"/>
                  </pic:cNvPicPr>
                </pic:nvPicPr>
                <pic:blipFill>
                  <a:blip r:embed="rId1"/>
                  <a:stretch>
                    <a:fillRect/>
                  </a:stretch>
                </pic:blipFill>
                <pic:spPr bwMode="auto">
                  <a:xfrm>
                    <a:off x="0" y="0"/>
                    <a:ext cx="6557010" cy="771525"/>
                  </a:xfrm>
                  <a:prstGeom prst="rect">
                    <a:avLst/>
                  </a:prstGeom>
                </pic:spPr>
              </pic:pic>
            </a:graphicData>
          </a:graphic>
        </wp:anchor>
      </w:drawing>
    </w:r>
  </w:p>
  <w:p w:rsidR="00CA7085" w:rsidRDefault="00CA7085">
    <w:pPr>
      <w:pStyle w:val="Piedepgina"/>
    </w:pPr>
  </w:p>
  <w:p w:rsidR="00CA7085" w:rsidRDefault="00CA7085">
    <w:pPr>
      <w:pStyle w:val="Piedepgina"/>
    </w:pPr>
  </w:p>
  <w:p w:rsidR="00CA7085" w:rsidRDefault="00CA7085">
    <w:pPr>
      <w:pStyle w:val="Piedepgina"/>
    </w:pPr>
  </w:p>
  <w:p w:rsidR="00CA7085" w:rsidRDefault="00CA70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72" w:rsidRDefault="003C4F72">
      <w:r>
        <w:separator/>
      </w:r>
    </w:p>
  </w:footnote>
  <w:footnote w:type="continuationSeparator" w:id="0">
    <w:p w:rsidR="003C4F72" w:rsidRDefault="003C4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46"/>
      <w:gridCol w:w="5325"/>
      <w:gridCol w:w="2378"/>
    </w:tblGrid>
    <w:tr w:rsidR="00CA7085">
      <w:trPr>
        <w:trHeight w:val="340"/>
      </w:trPr>
      <w:tc>
        <w:tcPr>
          <w:tcW w:w="264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rPr>
              <w:rFonts w:ascii="Century Gothic" w:hAnsi="Century Gothic"/>
              <w:lang w:eastAsia="es-CO"/>
            </w:rPr>
          </w:pPr>
          <w:r>
            <w:rPr>
              <w:rFonts w:ascii="Century Gothic" w:hAnsi="Century Gothic"/>
              <w:lang w:eastAsia="es-CO"/>
            </w:rPr>
            <w:t xml:space="preserve">    </w:t>
          </w:r>
        </w:p>
        <w:p w:rsidR="00CA7085" w:rsidRDefault="00C402B7">
          <w:pPr>
            <w:pStyle w:val="Encabezado"/>
            <w:rPr>
              <w:sz w:val="20"/>
            </w:rPr>
          </w:pPr>
          <w:r>
            <w:rPr>
              <w:noProof/>
              <w:lang w:val="es-MX" w:eastAsia="es-MX"/>
            </w:rPr>
            <w:drawing>
              <wp:inline distT="0" distB="0" distL="0" distR="0">
                <wp:extent cx="1543050" cy="466725"/>
                <wp:effectExtent l="0" t="0" r="0" b="0"/>
                <wp:docPr id="1"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Imagen"/>
                        <pic:cNvPicPr>
                          <a:picLocks noChangeAspect="1" noChangeArrowheads="1"/>
                        </pic:cNvPicPr>
                      </pic:nvPicPr>
                      <pic:blipFill>
                        <a:blip r:embed="rId1"/>
                        <a:stretch>
                          <a:fillRect/>
                        </a:stretch>
                      </pic:blipFill>
                      <pic:spPr bwMode="auto">
                        <a:xfrm>
                          <a:off x="0" y="0"/>
                          <a:ext cx="1543050" cy="466725"/>
                        </a:xfrm>
                        <a:prstGeom prst="rect">
                          <a:avLst/>
                        </a:prstGeom>
                      </pic:spPr>
                    </pic:pic>
                  </a:graphicData>
                </a:graphic>
              </wp:inline>
            </w:drawing>
          </w:r>
        </w:p>
      </w:tc>
      <w:tc>
        <w:tcPr>
          <w:tcW w:w="532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jc w:val="center"/>
            <w:rPr>
              <w:rFonts w:ascii="Century Gothic" w:hAnsi="Century Gothic"/>
              <w:b/>
              <w:sz w:val="20"/>
            </w:rPr>
          </w:pPr>
          <w:r>
            <w:rPr>
              <w:rFonts w:ascii="Century Gothic" w:hAnsi="Century Gothic"/>
              <w:b/>
              <w:noProof/>
              <w:sz w:val="20"/>
              <w:lang w:val="es-MX" w:eastAsia="es-MX"/>
            </w:rPr>
            <mc:AlternateContent>
              <mc:Choice Requires="wps">
                <w:drawing>
                  <wp:anchor distT="0" distB="0" distL="114300" distR="114300" simplePos="0" relativeHeight="15" behindDoc="1" locked="0" layoutInCell="1" allowOverlap="1" wp14:anchorId="07FF2FCE">
                    <wp:simplePos x="0" y="0"/>
                    <wp:positionH relativeFrom="column">
                      <wp:posOffset>-40640</wp:posOffset>
                    </wp:positionH>
                    <wp:positionV relativeFrom="paragraph">
                      <wp:posOffset>24765</wp:posOffset>
                    </wp:positionV>
                    <wp:extent cx="3230245" cy="351790"/>
                    <wp:effectExtent l="0" t="0" r="27940" b="10795"/>
                    <wp:wrapNone/>
                    <wp:docPr id="2" name="Text Box 43"/>
                    <wp:cNvGraphicFramePr/>
                    <a:graphic xmlns:a="http://schemas.openxmlformats.org/drawingml/2006/main">
                      <a:graphicData uri="http://schemas.microsoft.com/office/word/2010/wordprocessingShape">
                        <wps:wsp>
                          <wps:cNvSpPr/>
                          <wps:spPr>
                            <a:xfrm>
                              <a:off x="0" y="0"/>
                              <a:ext cx="3229560" cy="351000"/>
                            </a:xfrm>
                            <a:prstGeom prst="rect">
                              <a:avLst/>
                            </a:prstGeom>
                            <a:solidFill>
                              <a:srgbClr val="FFFFFF"/>
                            </a:solidFill>
                            <a:ln w="9360">
                              <a:solidFill>
                                <a:schemeClr val="bg1">
                                  <a:lumMod val="100000"/>
                                  <a:lumOff val="0"/>
                                </a:schemeClr>
                              </a:solidFill>
                              <a:miter/>
                            </a:ln>
                          </wps:spPr>
                          <wps:style>
                            <a:lnRef idx="0">
                              <a:scrgbClr r="0" g="0" b="0"/>
                            </a:lnRef>
                            <a:fillRef idx="0">
                              <a:scrgbClr r="0" g="0" b="0"/>
                            </a:fillRef>
                            <a:effectRef idx="0">
                              <a:scrgbClr r="0" g="0" b="0"/>
                            </a:effectRef>
                            <a:fontRef idx="minor"/>
                          </wps:style>
                          <wps:txbx>
                            <w:txbxContent>
                              <w:p w:rsidR="00CA7085" w:rsidRDefault="00C402B7">
                                <w:pPr>
                                  <w:pStyle w:val="Contenidodelmarco"/>
                                  <w:jc w:val="center"/>
                                  <w:rPr>
                                    <w:rFonts w:ascii="Century Gothic" w:hAnsi="Century Gothic"/>
                                    <w:b/>
                                    <w:sz w:val="22"/>
                                    <w:szCs w:val="22"/>
                                  </w:rPr>
                                </w:pPr>
                                <w:r>
                                  <w:rPr>
                                    <w:rFonts w:ascii="Century Gothic" w:hAnsi="Century Gothic"/>
                                    <w:b/>
                                    <w:sz w:val="22"/>
                                    <w:szCs w:val="22"/>
                                  </w:rPr>
                                  <w:t>ACTA DE REUNIÓN</w:t>
                                </w:r>
                              </w:p>
                            </w:txbxContent>
                          </wps:txbx>
                          <wps:bodyPr>
                            <a:noAutofit/>
                          </wps:bodyPr>
                        </wps:wsp>
                      </a:graphicData>
                    </a:graphic>
                  </wp:anchor>
                </w:drawing>
              </mc:Choice>
              <mc:Fallback>
                <w:pict>
                  <v:rect id="Text Box 43" o:spid="_x0000_s1026" style="position:absolute;left:0;text-align:left;margin-left:-3.2pt;margin-top:1.95pt;width:254.35pt;height:27.7pt;z-index:-5033164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9bBgIAAIkEAAAOAAAAZHJzL2Uyb0RvYy54bWysVNtu2zAMfR+wfxD0vthJ1mI14hTbiuxl&#10;l2JtP0CRpUSAJBqSEjt/P4p23G556lA/6EoeHh5SXt32zrKjCtGAr/l8VnKmvITG+F3Nnx43Hz5x&#10;FpPwjbDgVc1PKvLb9ft3q66t1AL2YBsVGIL4WHVtzfcptVVRRLlXTsQZtMrjpYbgRMJt2BVNEB2i&#10;O1ssyvK66CA0bQCpYsTTu+GSrwlfayXTL62jSszWHLklGgON2zwW65WodkG0eyNHGuI/WDhhPAad&#10;oO5EEuwQzAWUMzJABJ1mElwBWhupKAfMZl7+k83DXrSKckFxYjvJFN8OVv483gdmmpovOPPCYYke&#10;VZ/YF+jZx2WWp2tjhVYP7X0YdxGXOddeB5dnzIL1JOlpkjRjSDxcLhY3V9eovMS75dW8LEnz4tm7&#10;DTF9U+BYXtQ8YMlISXH8HhNGRNOzSQ4WwZpmY6ylTdhtv9rAjgLLu6EvU0aXv8ysZ13Nb5bI4xIi&#10;d5qaQLa7OdnYg/sBzQCcSQ+0RYXn2FDD+TkTatYMcRnZmaSybMjIepyymIN8tEonqzIj638rjVUg&#10;FYmiHDMbWhXfEkp4blgCQ4dsqFGJV/qOLtlb0Qt5pf/kRPHBp8nfGQ+BCvAiu7xM/bYfm2cLzWlo&#10;Hw+fDwm0oSJnq/MVqYT9TrKNbzM/qJd70vL5D7L+AwAA//8DAFBLAwQUAAYACAAAACEAjtHeXd0A&#10;AAAHAQAADwAAAGRycy9kb3ducmV2LnhtbEyOQUvDQBCF74L/YRnBW7uxaUsTsylSyEEEwdiDx212&#10;TEKzs+nuto3/3vFkb/N4j2++YjvZQVzQh96Rgqd5AgKpcaanVsH+s5ptQISoyejBESr4wQDb8v6u&#10;0LlxV/rASx1bwRAKuVbQxTjmUoamQ6vD3I1I3H07b3Xk6FtpvL4y3A5ykSRraXVP/KHTI+46bI71&#10;2TIFj1+nV3yv62x52q82vnqTu0qpx4fp5RlExCn+j+FPn9WhZKeDO5MJYlAwWy95qSDNQHC9ShYp&#10;iAMfWQqyLOStf/kLAAD//wMAUEsBAi0AFAAGAAgAAAAhALaDOJL+AAAA4QEAABMAAAAAAAAAAAAA&#10;AAAAAAAAAFtDb250ZW50X1R5cGVzXS54bWxQSwECLQAUAAYACAAAACEAOP0h/9YAAACUAQAACwAA&#10;AAAAAAAAAAAAAAAvAQAAX3JlbHMvLnJlbHNQSwECLQAUAAYACAAAACEAyjevWwYCAACJBAAADgAA&#10;AAAAAAAAAAAAAAAuAgAAZHJzL2Uyb0RvYy54bWxQSwECLQAUAAYACAAAACEAjtHeXd0AAAAHAQAA&#10;DwAAAAAAAAAAAAAAAABgBAAAZHJzL2Rvd25yZXYueG1sUEsFBgAAAAAEAAQA8wAAAGoFAAAAAA==&#10;" strokecolor="white [3212]" strokeweight=".26mm">
                    <v:textbox>
                      <w:txbxContent>
                        <w:p w:rsidR="00CA7085" w:rsidRDefault="00C402B7">
                          <w:pPr>
                            <w:pStyle w:val="Contenidodelmarco"/>
                            <w:jc w:val="center"/>
                            <w:rPr>
                              <w:rFonts w:ascii="Century Gothic" w:hAnsi="Century Gothic"/>
                              <w:b/>
                              <w:sz w:val="22"/>
                              <w:szCs w:val="22"/>
                            </w:rPr>
                          </w:pPr>
                          <w:r>
                            <w:rPr>
                              <w:rFonts w:ascii="Century Gothic" w:hAnsi="Century Gothic"/>
                              <w:b/>
                              <w:sz w:val="22"/>
                              <w:szCs w:val="22"/>
                            </w:rPr>
                            <w:t>ACTA DE REUNIÓN</w:t>
                          </w:r>
                        </w:p>
                      </w:txbxContent>
                    </v:textbox>
                  </v:rect>
                </w:pict>
              </mc:Fallback>
            </mc:AlternateConten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jc w:val="both"/>
            <w:rPr>
              <w:rFonts w:ascii="Century Gothic" w:hAnsi="Century Gothic"/>
              <w:sz w:val="18"/>
            </w:rPr>
          </w:pPr>
          <w:r>
            <w:rPr>
              <w:rFonts w:ascii="Century Gothic" w:hAnsi="Century Gothic"/>
              <w:sz w:val="18"/>
            </w:rPr>
            <w:t>CODIGO:GD-F-10-04</w:t>
          </w:r>
        </w:p>
      </w:tc>
    </w:tr>
    <w:tr w:rsidR="00CA7085">
      <w:trPr>
        <w:trHeight w:val="340"/>
      </w:trPr>
      <w:tc>
        <w:tcPr>
          <w:tcW w:w="26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A7085">
          <w:pPr>
            <w:pStyle w:val="Encabezado"/>
            <w:rPr>
              <w:sz w:val="20"/>
            </w:rPr>
          </w:pPr>
        </w:p>
      </w:tc>
      <w:tc>
        <w:tcPr>
          <w:tcW w:w="532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A7085">
          <w:pPr>
            <w:pStyle w:val="Encabezado"/>
            <w:jc w:val="center"/>
            <w:rPr>
              <w:rFonts w:ascii="Century Gothic" w:hAnsi="Century Gothic"/>
              <w:sz w:val="20"/>
            </w:rPr>
          </w:pP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jc w:val="both"/>
            <w:rPr>
              <w:rFonts w:ascii="Century Gothic" w:hAnsi="Century Gothic"/>
              <w:sz w:val="18"/>
            </w:rPr>
          </w:pPr>
          <w:r>
            <w:rPr>
              <w:rFonts w:ascii="Century Gothic" w:hAnsi="Century Gothic"/>
              <w:sz w:val="18"/>
            </w:rPr>
            <w:t>VERSION: 4</w:t>
          </w:r>
        </w:p>
      </w:tc>
    </w:tr>
    <w:tr w:rsidR="00CA7085">
      <w:trPr>
        <w:trHeight w:val="397"/>
      </w:trPr>
      <w:tc>
        <w:tcPr>
          <w:tcW w:w="26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A7085">
          <w:pPr>
            <w:pStyle w:val="Encabezado"/>
            <w:rPr>
              <w:sz w:val="20"/>
            </w:rPr>
          </w:pPr>
        </w:p>
      </w:tc>
      <w:tc>
        <w:tcPr>
          <w:tcW w:w="532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jc w:val="center"/>
            <w:rPr>
              <w:rFonts w:ascii="Century Gothic" w:hAnsi="Century Gothic"/>
              <w:sz w:val="20"/>
            </w:rPr>
          </w:pPr>
          <w:r>
            <w:rPr>
              <w:rFonts w:ascii="Century Gothic" w:hAnsi="Century Gothic"/>
              <w:noProof/>
              <w:sz w:val="20"/>
              <w:lang w:val="es-MX" w:eastAsia="es-MX"/>
            </w:rPr>
            <mc:AlternateContent>
              <mc:Choice Requires="wps">
                <w:drawing>
                  <wp:anchor distT="0" distB="0" distL="114300" distR="114300" simplePos="0" relativeHeight="8" behindDoc="1" locked="0" layoutInCell="1" allowOverlap="1" wp14:anchorId="30E9B140">
                    <wp:simplePos x="0" y="0"/>
                    <wp:positionH relativeFrom="column">
                      <wp:posOffset>-40640</wp:posOffset>
                    </wp:positionH>
                    <wp:positionV relativeFrom="paragraph">
                      <wp:posOffset>13335</wp:posOffset>
                    </wp:positionV>
                    <wp:extent cx="3289300" cy="445135"/>
                    <wp:effectExtent l="0" t="0" r="26035" b="12700"/>
                    <wp:wrapNone/>
                    <wp:docPr id="4" name="Text Box 42"/>
                    <wp:cNvGraphicFramePr/>
                    <a:graphic xmlns:a="http://schemas.openxmlformats.org/drawingml/2006/main">
                      <a:graphicData uri="http://schemas.microsoft.com/office/word/2010/wordprocessingShape">
                        <wps:wsp>
                          <wps:cNvSpPr/>
                          <wps:spPr>
                            <a:xfrm>
                              <a:off x="0" y="0"/>
                              <a:ext cx="3288600" cy="444600"/>
                            </a:xfrm>
                            <a:prstGeom prst="rect">
                              <a:avLst/>
                            </a:prstGeom>
                            <a:solidFill>
                              <a:srgbClr val="FFFFFF"/>
                            </a:solidFill>
                            <a:ln w="9360">
                              <a:solidFill>
                                <a:schemeClr val="bg1">
                                  <a:lumMod val="100000"/>
                                  <a:lumOff val="0"/>
                                </a:schemeClr>
                              </a:solidFill>
                              <a:miter/>
                            </a:ln>
                          </wps:spPr>
                          <wps:style>
                            <a:lnRef idx="0">
                              <a:scrgbClr r="0" g="0" b="0"/>
                            </a:lnRef>
                            <a:fillRef idx="0">
                              <a:scrgbClr r="0" g="0" b="0"/>
                            </a:fillRef>
                            <a:effectRef idx="0">
                              <a:scrgbClr r="0" g="0" b="0"/>
                            </a:effectRef>
                            <a:fontRef idx="minor"/>
                          </wps:style>
                          <wps:txbx>
                            <w:txbxContent>
                              <w:p w:rsidR="00CA7085" w:rsidRDefault="00C402B7">
                                <w:pPr>
                                  <w:pStyle w:val="Encabezado"/>
                                  <w:jc w:val="center"/>
                                  <w:rPr>
                                    <w:rFonts w:ascii="Century Gothic" w:hAnsi="Century Gothic"/>
                                    <w:sz w:val="16"/>
                                    <w:szCs w:val="16"/>
                                  </w:rPr>
                                </w:pPr>
                                <w:r>
                                  <w:rPr>
                                    <w:rFonts w:ascii="Century Gothic" w:hAnsi="Century Gothic"/>
                                    <w:sz w:val="16"/>
                                    <w:szCs w:val="16"/>
                                  </w:rPr>
                                  <w:t>SUBRED INTEGRADA DE SERVICIOS DE SALUD NORTE E.S.E.</w:t>
                                </w:r>
                              </w:p>
                              <w:p w:rsidR="00CA7085" w:rsidRDefault="00C402B7">
                                <w:pPr>
                                  <w:pStyle w:val="Encabezado"/>
                                  <w:jc w:val="center"/>
                                  <w:rPr>
                                    <w:rFonts w:ascii="Century Gothic" w:hAnsi="Century Gothic"/>
                                    <w:sz w:val="16"/>
                                    <w:szCs w:val="16"/>
                                  </w:rPr>
                                </w:pPr>
                                <w:r>
                                  <w:rPr>
                                    <w:rFonts w:ascii="Century Gothic" w:hAnsi="Century Gothic"/>
                                    <w:sz w:val="16"/>
                                    <w:szCs w:val="16"/>
                                  </w:rPr>
                                  <w:t>GESTION DE LA INFORMACION Y TICS</w:t>
                                </w:r>
                              </w:p>
                            </w:txbxContent>
                          </wps:txbx>
                          <wps:bodyPr>
                            <a:noAutofit/>
                          </wps:bodyPr>
                        </wps:wsp>
                      </a:graphicData>
                    </a:graphic>
                  </wp:anchor>
                </w:drawing>
              </mc:Choice>
              <mc:Fallback>
                <w:pict>
                  <v:rect id="Text Box 42" o:spid="_x0000_s1027" style="position:absolute;left:0;text-align:left;margin-left:-3.2pt;margin-top:1.05pt;width:259pt;height:35.0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xOBQIAAJAEAAAOAAAAZHJzL2Uyb0RvYy54bWysVNuO2yAQfa/Uf0C8N7azUZRacVZtV+lL&#10;L6vd7QcQDAkSNwGJnb/vMHa8Sfu0VXnAAzNz4JwZvL7vjSYnEaJytqHVrKREWO5aZfcN/fWy/bCi&#10;JCZmW6adFQ09i0jvN+/frTtfi7k7ON2KQADExrrzDT2k5OuiiPwgDIsz54UFp3TBsATLsC/awDpA&#10;N7qYl+Wy6FxofXBcxAi7D4OTbhBfSsHTTymjSEQ3FO6WcA447/JcbNas3gfmD4qP12D/cAvDlIVD&#10;J6gHlhg5BvUXlFE8uOhkmnFnCiel4gI5AJuq/IPN84F5gVxAnOgnmeL/g+U/To+BqLahC0osM1Ci&#10;F9En8tn1ZDHP8nQ+1hD17B/DuIpgZq69DCZ/gQXpUdLzJGnG4LB5N1+tliUoz8G3WCyyDTDFa7YP&#10;MX0VzpBsNDRAyVBJdvoW0xB6CcmHRadVu1Va4yLsd190ICcG5d3iGNFvwrQlXUM/3i1LRL7xYaeJ&#10;CWS3rzBGH8131w7AVZlHBmY17ENDDfsXJhME8rpBNyqJLBvw1RY+WcxBPrTSWQtEtU9CQhVQRSTG&#10;R2ZDq8JbAgkvDYtgkJADJSjxxtwxJWcLfCFvzJ+S8Hxn05RvlHUBC3DFLpup3/XYZFX25p2da89D&#10;F1n36ZicVFjraxeKBW2P6o1PNL+r6zVK+voj2fwGAAD//wMAUEsDBBQABgAIAAAAIQDlw87C3QAA&#10;AAcBAAAPAAAAZHJzL2Rvd25yZXYueG1sTI7BTsMwEETvSPyDtUjcWidRG0qIU6FKOSAkJEIPHN14&#10;SaLG69R22/D3LCc4jmb05pXb2Y7igj4MjhSkywQEUuvMQJ2C/Ue92IAIUZPRoyNU8I0BttXtTakL&#10;4670jpcmdoIhFAqtoI9xKqQMbY9Wh6WbkLj7ct7qyNF30nh9ZbgdZZYkubR6IH7o9YS7Httjc7ZM&#10;wePn6QXfmuZxddqvN75+lbtaqfu7+fkJRMQ5/o3hV5/VoWKngzuTCWJUsMhXvFSQpSC4XqdpDuKg&#10;4CHLQFal/O9f/QAAAP//AwBQSwECLQAUAAYACAAAACEAtoM4kv4AAADhAQAAEwAAAAAAAAAAAAAA&#10;AAAAAAAAW0NvbnRlbnRfVHlwZXNdLnhtbFBLAQItABQABgAIAAAAIQA4/SH/1gAAAJQBAAALAAAA&#10;AAAAAAAAAAAAAC8BAABfcmVscy8ucmVsc1BLAQItABQABgAIAAAAIQCPMAxOBQIAAJAEAAAOAAAA&#10;AAAAAAAAAAAAAC4CAABkcnMvZTJvRG9jLnhtbFBLAQItABQABgAIAAAAIQDlw87C3QAAAAcBAAAP&#10;AAAAAAAAAAAAAAAAAF8EAABkcnMvZG93bnJldi54bWxQSwUGAAAAAAQABADzAAAAaQUAAAAA&#10;" strokecolor="white [3212]" strokeweight=".26mm">
                    <v:textbox>
                      <w:txbxContent>
                        <w:p w:rsidR="00CA7085" w:rsidRDefault="00C402B7">
                          <w:pPr>
                            <w:pStyle w:val="Encabezado"/>
                            <w:jc w:val="center"/>
                            <w:rPr>
                              <w:rFonts w:ascii="Century Gothic" w:hAnsi="Century Gothic"/>
                              <w:sz w:val="16"/>
                              <w:szCs w:val="16"/>
                            </w:rPr>
                          </w:pPr>
                          <w:r>
                            <w:rPr>
                              <w:rFonts w:ascii="Century Gothic" w:hAnsi="Century Gothic"/>
                              <w:sz w:val="16"/>
                              <w:szCs w:val="16"/>
                            </w:rPr>
                            <w:t>SUBRED INTEGRADA DE SERVICIOS DE SALUD NORTE E.S.E.</w:t>
                          </w:r>
                        </w:p>
                        <w:p w:rsidR="00CA7085" w:rsidRDefault="00C402B7">
                          <w:pPr>
                            <w:pStyle w:val="Encabezado"/>
                            <w:jc w:val="center"/>
                            <w:rPr>
                              <w:rFonts w:ascii="Century Gothic" w:hAnsi="Century Gothic"/>
                              <w:sz w:val="16"/>
                              <w:szCs w:val="16"/>
                            </w:rPr>
                          </w:pPr>
                          <w:r>
                            <w:rPr>
                              <w:rFonts w:ascii="Century Gothic" w:hAnsi="Century Gothic"/>
                              <w:sz w:val="16"/>
                              <w:szCs w:val="16"/>
                            </w:rPr>
                            <w:t>GESTION DE LA INFORMACION Y TICS</w:t>
                          </w:r>
                        </w:p>
                      </w:txbxContent>
                    </v:textbox>
                  </v:rect>
                </w:pict>
              </mc:Fallback>
            </mc:AlternateConten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r>
            <w:rPr>
              <w:rFonts w:ascii="Century Gothic" w:hAnsi="Century Gothic"/>
              <w:sz w:val="18"/>
              <w:lang w:val="es-ES"/>
            </w:rPr>
            <w:t>PAGINA:</w:t>
          </w:r>
          <w:r>
            <w:rPr>
              <w:rFonts w:ascii="Century Gothic" w:hAnsi="Century Gothic"/>
              <w:sz w:val="18"/>
              <w:lang w:val="es-ES"/>
            </w:rPr>
            <w:fldChar w:fldCharType="begin"/>
          </w:r>
          <w:r>
            <w:instrText>PAGE</w:instrText>
          </w:r>
          <w:r>
            <w:fldChar w:fldCharType="separate"/>
          </w:r>
          <w:r w:rsidR="00086562">
            <w:rPr>
              <w:noProof/>
            </w:rPr>
            <w:t>7</w:t>
          </w:r>
          <w:r>
            <w:fldChar w:fldCharType="end"/>
          </w:r>
          <w:r>
            <w:rPr>
              <w:rFonts w:ascii="Century Gothic" w:hAnsi="Century Gothic"/>
              <w:sz w:val="18"/>
              <w:lang w:val="es-ES"/>
            </w:rPr>
            <w:t xml:space="preserve"> DE </w:t>
          </w:r>
          <w:r>
            <w:rPr>
              <w:rFonts w:ascii="Century Gothic" w:hAnsi="Century Gothic"/>
              <w:sz w:val="18"/>
              <w:lang w:val="es-ES"/>
            </w:rPr>
            <w:fldChar w:fldCharType="begin"/>
          </w:r>
          <w:r>
            <w:instrText>NUMPAGES</w:instrText>
          </w:r>
          <w:r>
            <w:fldChar w:fldCharType="separate"/>
          </w:r>
          <w:r w:rsidR="00086562">
            <w:rPr>
              <w:noProof/>
            </w:rPr>
            <w:t>10</w:t>
          </w:r>
          <w:r>
            <w:fldChar w:fldCharType="end"/>
          </w:r>
        </w:p>
      </w:tc>
    </w:tr>
    <w:tr w:rsidR="00CA7085">
      <w:trPr>
        <w:trHeight w:val="425"/>
      </w:trPr>
      <w:tc>
        <w:tcPr>
          <w:tcW w:w="264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A7085">
          <w:pPr>
            <w:pStyle w:val="Encabezado"/>
            <w:rPr>
              <w:sz w:val="20"/>
            </w:rPr>
          </w:pPr>
        </w:p>
      </w:tc>
      <w:tc>
        <w:tcPr>
          <w:tcW w:w="532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A7085">
          <w:pPr>
            <w:pStyle w:val="Encabezado"/>
            <w:jc w:val="center"/>
            <w:rPr>
              <w:rFonts w:ascii="Century Gothic" w:hAnsi="Century Gothic"/>
              <w:sz w:val="20"/>
            </w:rPr>
          </w:pP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A7085" w:rsidRDefault="00C402B7">
          <w:pPr>
            <w:pStyle w:val="Encabezado"/>
            <w:jc w:val="both"/>
            <w:rPr>
              <w:rFonts w:ascii="Century Gothic" w:hAnsi="Century Gothic"/>
              <w:sz w:val="18"/>
            </w:rPr>
          </w:pPr>
          <w:r>
            <w:rPr>
              <w:rFonts w:ascii="Century Gothic" w:hAnsi="Century Gothic"/>
              <w:sz w:val="18"/>
            </w:rPr>
            <w:t>FECHA: 01/06/2017</w:t>
          </w:r>
        </w:p>
      </w:tc>
    </w:tr>
  </w:tbl>
  <w:p w:rsidR="00CA7085" w:rsidRDefault="00CA7085">
    <w:pPr>
      <w:pStyle w:val="Encabezado"/>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F9E"/>
    <w:multiLevelType w:val="hybridMultilevel"/>
    <w:tmpl w:val="63308386"/>
    <w:lvl w:ilvl="0" w:tplc="0ADAA18E">
      <w:start w:val="5"/>
      <w:numFmt w:val="decimal"/>
      <w:lvlText w:val="%1"/>
      <w:lvlJc w:val="left"/>
      <w:pPr>
        <w:ind w:left="1115" w:hanging="360"/>
      </w:pPr>
      <w:rPr>
        <w:rFonts w:hint="default"/>
      </w:rPr>
    </w:lvl>
    <w:lvl w:ilvl="1" w:tplc="080A0019" w:tentative="1">
      <w:start w:val="1"/>
      <w:numFmt w:val="lowerLetter"/>
      <w:lvlText w:val="%2."/>
      <w:lvlJc w:val="left"/>
      <w:pPr>
        <w:ind w:left="1835" w:hanging="360"/>
      </w:pPr>
    </w:lvl>
    <w:lvl w:ilvl="2" w:tplc="080A001B" w:tentative="1">
      <w:start w:val="1"/>
      <w:numFmt w:val="lowerRoman"/>
      <w:lvlText w:val="%3."/>
      <w:lvlJc w:val="right"/>
      <w:pPr>
        <w:ind w:left="2555" w:hanging="180"/>
      </w:pPr>
    </w:lvl>
    <w:lvl w:ilvl="3" w:tplc="080A000F" w:tentative="1">
      <w:start w:val="1"/>
      <w:numFmt w:val="decimal"/>
      <w:lvlText w:val="%4."/>
      <w:lvlJc w:val="left"/>
      <w:pPr>
        <w:ind w:left="3275" w:hanging="360"/>
      </w:pPr>
    </w:lvl>
    <w:lvl w:ilvl="4" w:tplc="080A0019" w:tentative="1">
      <w:start w:val="1"/>
      <w:numFmt w:val="lowerLetter"/>
      <w:lvlText w:val="%5."/>
      <w:lvlJc w:val="left"/>
      <w:pPr>
        <w:ind w:left="3995" w:hanging="360"/>
      </w:pPr>
    </w:lvl>
    <w:lvl w:ilvl="5" w:tplc="080A001B" w:tentative="1">
      <w:start w:val="1"/>
      <w:numFmt w:val="lowerRoman"/>
      <w:lvlText w:val="%6."/>
      <w:lvlJc w:val="right"/>
      <w:pPr>
        <w:ind w:left="4715" w:hanging="180"/>
      </w:pPr>
    </w:lvl>
    <w:lvl w:ilvl="6" w:tplc="080A000F" w:tentative="1">
      <w:start w:val="1"/>
      <w:numFmt w:val="decimal"/>
      <w:lvlText w:val="%7."/>
      <w:lvlJc w:val="left"/>
      <w:pPr>
        <w:ind w:left="5435" w:hanging="360"/>
      </w:pPr>
    </w:lvl>
    <w:lvl w:ilvl="7" w:tplc="080A0019" w:tentative="1">
      <w:start w:val="1"/>
      <w:numFmt w:val="lowerLetter"/>
      <w:lvlText w:val="%8."/>
      <w:lvlJc w:val="left"/>
      <w:pPr>
        <w:ind w:left="6155" w:hanging="360"/>
      </w:pPr>
    </w:lvl>
    <w:lvl w:ilvl="8" w:tplc="080A001B" w:tentative="1">
      <w:start w:val="1"/>
      <w:numFmt w:val="lowerRoman"/>
      <w:lvlText w:val="%9."/>
      <w:lvlJc w:val="right"/>
      <w:pPr>
        <w:ind w:left="6875" w:hanging="180"/>
      </w:pPr>
    </w:lvl>
  </w:abstractNum>
  <w:abstractNum w:abstractNumId="1">
    <w:nsid w:val="036E36AA"/>
    <w:multiLevelType w:val="hybridMultilevel"/>
    <w:tmpl w:val="B1325D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18529E"/>
    <w:multiLevelType w:val="hybridMultilevel"/>
    <w:tmpl w:val="6E2CEE40"/>
    <w:lvl w:ilvl="0" w:tplc="0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93028A"/>
    <w:multiLevelType w:val="hybridMultilevel"/>
    <w:tmpl w:val="12A838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8F26E5"/>
    <w:multiLevelType w:val="hybridMultilevel"/>
    <w:tmpl w:val="D04EC7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5D73F2"/>
    <w:multiLevelType w:val="hybridMultilevel"/>
    <w:tmpl w:val="E1DC4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07531B"/>
    <w:multiLevelType w:val="hybridMultilevel"/>
    <w:tmpl w:val="D75EAB1E"/>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9132D14"/>
    <w:multiLevelType w:val="hybridMultilevel"/>
    <w:tmpl w:val="5DBEDA9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nsid w:val="1D283CB9"/>
    <w:multiLevelType w:val="hybridMultilevel"/>
    <w:tmpl w:val="8B8AB4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6A4E75"/>
    <w:multiLevelType w:val="hybridMultilevel"/>
    <w:tmpl w:val="12D2631E"/>
    <w:lvl w:ilvl="0" w:tplc="708AC6AA">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1FB81E1B"/>
    <w:multiLevelType w:val="hybridMultilevel"/>
    <w:tmpl w:val="D16EF2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CAE3B28"/>
    <w:multiLevelType w:val="multilevel"/>
    <w:tmpl w:val="514099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10D6C25"/>
    <w:multiLevelType w:val="hybridMultilevel"/>
    <w:tmpl w:val="0B8A0B1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nsid w:val="314C6F0E"/>
    <w:multiLevelType w:val="hybridMultilevel"/>
    <w:tmpl w:val="541630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79459DC"/>
    <w:multiLevelType w:val="hybridMultilevel"/>
    <w:tmpl w:val="B038D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CE5F0E"/>
    <w:multiLevelType w:val="hybridMultilevel"/>
    <w:tmpl w:val="6E2CEE40"/>
    <w:lvl w:ilvl="0" w:tplc="0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1965694"/>
    <w:multiLevelType w:val="multilevel"/>
    <w:tmpl w:val="59E65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6F0DD8"/>
    <w:multiLevelType w:val="hybridMultilevel"/>
    <w:tmpl w:val="88AA4538"/>
    <w:lvl w:ilvl="0" w:tplc="46602FF0">
      <w:start w:val="5"/>
      <w:numFmt w:val="decimal"/>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8">
    <w:nsid w:val="44F0688C"/>
    <w:multiLevelType w:val="hybridMultilevel"/>
    <w:tmpl w:val="1D604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2322BC"/>
    <w:multiLevelType w:val="hybridMultilevel"/>
    <w:tmpl w:val="85349966"/>
    <w:lvl w:ilvl="0" w:tplc="42D42270">
      <w:start w:val="1"/>
      <w:numFmt w:val="decimal"/>
      <w:lvlText w:val="%1."/>
      <w:lvlJc w:val="left"/>
      <w:pPr>
        <w:tabs>
          <w:tab w:val="num" w:pos="720"/>
        </w:tabs>
        <w:ind w:left="720" w:hanging="360"/>
      </w:pPr>
    </w:lvl>
    <w:lvl w:ilvl="1" w:tplc="6BC27912" w:tentative="1">
      <w:start w:val="1"/>
      <w:numFmt w:val="decimal"/>
      <w:lvlText w:val="%2."/>
      <w:lvlJc w:val="left"/>
      <w:pPr>
        <w:tabs>
          <w:tab w:val="num" w:pos="1440"/>
        </w:tabs>
        <w:ind w:left="1440" w:hanging="360"/>
      </w:pPr>
    </w:lvl>
    <w:lvl w:ilvl="2" w:tplc="08D428DC" w:tentative="1">
      <w:start w:val="1"/>
      <w:numFmt w:val="decimal"/>
      <w:lvlText w:val="%3."/>
      <w:lvlJc w:val="left"/>
      <w:pPr>
        <w:tabs>
          <w:tab w:val="num" w:pos="2160"/>
        </w:tabs>
        <w:ind w:left="2160" w:hanging="360"/>
      </w:pPr>
    </w:lvl>
    <w:lvl w:ilvl="3" w:tplc="021C60E0" w:tentative="1">
      <w:start w:val="1"/>
      <w:numFmt w:val="decimal"/>
      <w:lvlText w:val="%4."/>
      <w:lvlJc w:val="left"/>
      <w:pPr>
        <w:tabs>
          <w:tab w:val="num" w:pos="2880"/>
        </w:tabs>
        <w:ind w:left="2880" w:hanging="360"/>
      </w:pPr>
    </w:lvl>
    <w:lvl w:ilvl="4" w:tplc="DFF2F53A" w:tentative="1">
      <w:start w:val="1"/>
      <w:numFmt w:val="decimal"/>
      <w:lvlText w:val="%5."/>
      <w:lvlJc w:val="left"/>
      <w:pPr>
        <w:tabs>
          <w:tab w:val="num" w:pos="3600"/>
        </w:tabs>
        <w:ind w:left="3600" w:hanging="360"/>
      </w:pPr>
    </w:lvl>
    <w:lvl w:ilvl="5" w:tplc="44F4938C" w:tentative="1">
      <w:start w:val="1"/>
      <w:numFmt w:val="decimal"/>
      <w:lvlText w:val="%6."/>
      <w:lvlJc w:val="left"/>
      <w:pPr>
        <w:tabs>
          <w:tab w:val="num" w:pos="4320"/>
        </w:tabs>
        <w:ind w:left="4320" w:hanging="360"/>
      </w:pPr>
    </w:lvl>
    <w:lvl w:ilvl="6" w:tplc="EF02ABB6" w:tentative="1">
      <w:start w:val="1"/>
      <w:numFmt w:val="decimal"/>
      <w:lvlText w:val="%7."/>
      <w:lvlJc w:val="left"/>
      <w:pPr>
        <w:tabs>
          <w:tab w:val="num" w:pos="5040"/>
        </w:tabs>
        <w:ind w:left="5040" w:hanging="360"/>
      </w:pPr>
    </w:lvl>
    <w:lvl w:ilvl="7" w:tplc="D5FA8E66" w:tentative="1">
      <w:start w:val="1"/>
      <w:numFmt w:val="decimal"/>
      <w:lvlText w:val="%8."/>
      <w:lvlJc w:val="left"/>
      <w:pPr>
        <w:tabs>
          <w:tab w:val="num" w:pos="5760"/>
        </w:tabs>
        <w:ind w:left="5760" w:hanging="360"/>
      </w:pPr>
    </w:lvl>
    <w:lvl w:ilvl="8" w:tplc="75F6D328" w:tentative="1">
      <w:start w:val="1"/>
      <w:numFmt w:val="decimal"/>
      <w:lvlText w:val="%9."/>
      <w:lvlJc w:val="left"/>
      <w:pPr>
        <w:tabs>
          <w:tab w:val="num" w:pos="6480"/>
        </w:tabs>
        <w:ind w:left="6480" w:hanging="360"/>
      </w:pPr>
    </w:lvl>
  </w:abstractNum>
  <w:abstractNum w:abstractNumId="20">
    <w:nsid w:val="452A256D"/>
    <w:multiLevelType w:val="hybridMultilevel"/>
    <w:tmpl w:val="6F105BE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nsid w:val="45AA4DC7"/>
    <w:multiLevelType w:val="hybridMultilevel"/>
    <w:tmpl w:val="4A5ACB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E16E73"/>
    <w:multiLevelType w:val="hybridMultilevel"/>
    <w:tmpl w:val="11262BFE"/>
    <w:lvl w:ilvl="0" w:tplc="31BC822A">
      <w:start w:val="1"/>
      <w:numFmt w:val="bullet"/>
      <w:lvlText w:val="•"/>
      <w:lvlJc w:val="left"/>
      <w:pPr>
        <w:tabs>
          <w:tab w:val="num" w:pos="720"/>
        </w:tabs>
        <w:ind w:left="720" w:hanging="360"/>
      </w:pPr>
      <w:rPr>
        <w:rFonts w:ascii="Arial" w:hAnsi="Arial" w:hint="default"/>
      </w:rPr>
    </w:lvl>
    <w:lvl w:ilvl="1" w:tplc="07E68146" w:tentative="1">
      <w:start w:val="1"/>
      <w:numFmt w:val="bullet"/>
      <w:lvlText w:val="•"/>
      <w:lvlJc w:val="left"/>
      <w:pPr>
        <w:tabs>
          <w:tab w:val="num" w:pos="1440"/>
        </w:tabs>
        <w:ind w:left="1440" w:hanging="360"/>
      </w:pPr>
      <w:rPr>
        <w:rFonts w:ascii="Arial" w:hAnsi="Arial" w:hint="default"/>
      </w:rPr>
    </w:lvl>
    <w:lvl w:ilvl="2" w:tplc="F294B01E" w:tentative="1">
      <w:start w:val="1"/>
      <w:numFmt w:val="bullet"/>
      <w:lvlText w:val="•"/>
      <w:lvlJc w:val="left"/>
      <w:pPr>
        <w:tabs>
          <w:tab w:val="num" w:pos="2160"/>
        </w:tabs>
        <w:ind w:left="2160" w:hanging="360"/>
      </w:pPr>
      <w:rPr>
        <w:rFonts w:ascii="Arial" w:hAnsi="Arial" w:hint="default"/>
      </w:rPr>
    </w:lvl>
    <w:lvl w:ilvl="3" w:tplc="E154CDCE" w:tentative="1">
      <w:start w:val="1"/>
      <w:numFmt w:val="bullet"/>
      <w:lvlText w:val="•"/>
      <w:lvlJc w:val="left"/>
      <w:pPr>
        <w:tabs>
          <w:tab w:val="num" w:pos="2880"/>
        </w:tabs>
        <w:ind w:left="2880" w:hanging="360"/>
      </w:pPr>
      <w:rPr>
        <w:rFonts w:ascii="Arial" w:hAnsi="Arial" w:hint="default"/>
      </w:rPr>
    </w:lvl>
    <w:lvl w:ilvl="4" w:tplc="E976D238" w:tentative="1">
      <w:start w:val="1"/>
      <w:numFmt w:val="bullet"/>
      <w:lvlText w:val="•"/>
      <w:lvlJc w:val="left"/>
      <w:pPr>
        <w:tabs>
          <w:tab w:val="num" w:pos="3600"/>
        </w:tabs>
        <w:ind w:left="3600" w:hanging="360"/>
      </w:pPr>
      <w:rPr>
        <w:rFonts w:ascii="Arial" w:hAnsi="Arial" w:hint="default"/>
      </w:rPr>
    </w:lvl>
    <w:lvl w:ilvl="5" w:tplc="2D82379A" w:tentative="1">
      <w:start w:val="1"/>
      <w:numFmt w:val="bullet"/>
      <w:lvlText w:val="•"/>
      <w:lvlJc w:val="left"/>
      <w:pPr>
        <w:tabs>
          <w:tab w:val="num" w:pos="4320"/>
        </w:tabs>
        <w:ind w:left="4320" w:hanging="360"/>
      </w:pPr>
      <w:rPr>
        <w:rFonts w:ascii="Arial" w:hAnsi="Arial" w:hint="default"/>
      </w:rPr>
    </w:lvl>
    <w:lvl w:ilvl="6" w:tplc="7204664E" w:tentative="1">
      <w:start w:val="1"/>
      <w:numFmt w:val="bullet"/>
      <w:lvlText w:val="•"/>
      <w:lvlJc w:val="left"/>
      <w:pPr>
        <w:tabs>
          <w:tab w:val="num" w:pos="5040"/>
        </w:tabs>
        <w:ind w:left="5040" w:hanging="360"/>
      </w:pPr>
      <w:rPr>
        <w:rFonts w:ascii="Arial" w:hAnsi="Arial" w:hint="default"/>
      </w:rPr>
    </w:lvl>
    <w:lvl w:ilvl="7" w:tplc="433A9B52" w:tentative="1">
      <w:start w:val="1"/>
      <w:numFmt w:val="bullet"/>
      <w:lvlText w:val="•"/>
      <w:lvlJc w:val="left"/>
      <w:pPr>
        <w:tabs>
          <w:tab w:val="num" w:pos="5760"/>
        </w:tabs>
        <w:ind w:left="5760" w:hanging="360"/>
      </w:pPr>
      <w:rPr>
        <w:rFonts w:ascii="Arial" w:hAnsi="Arial" w:hint="default"/>
      </w:rPr>
    </w:lvl>
    <w:lvl w:ilvl="8" w:tplc="10749F88" w:tentative="1">
      <w:start w:val="1"/>
      <w:numFmt w:val="bullet"/>
      <w:lvlText w:val="•"/>
      <w:lvlJc w:val="left"/>
      <w:pPr>
        <w:tabs>
          <w:tab w:val="num" w:pos="6480"/>
        </w:tabs>
        <w:ind w:left="6480" w:hanging="360"/>
      </w:pPr>
      <w:rPr>
        <w:rFonts w:ascii="Arial" w:hAnsi="Arial" w:hint="default"/>
      </w:rPr>
    </w:lvl>
  </w:abstractNum>
  <w:abstractNum w:abstractNumId="23">
    <w:nsid w:val="4C923016"/>
    <w:multiLevelType w:val="hybridMultilevel"/>
    <w:tmpl w:val="95AC87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8170E3"/>
    <w:multiLevelType w:val="hybridMultilevel"/>
    <w:tmpl w:val="18BAF9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3627C"/>
    <w:multiLevelType w:val="hybridMultilevel"/>
    <w:tmpl w:val="DE8071BC"/>
    <w:lvl w:ilvl="0" w:tplc="B0B48B4A">
      <w:start w:val="1"/>
      <w:numFmt w:val="bullet"/>
      <w:lvlText w:val="•"/>
      <w:lvlJc w:val="left"/>
      <w:pPr>
        <w:tabs>
          <w:tab w:val="num" w:pos="720"/>
        </w:tabs>
        <w:ind w:left="720" w:hanging="360"/>
      </w:pPr>
      <w:rPr>
        <w:rFonts w:ascii="Arial" w:hAnsi="Arial" w:hint="default"/>
      </w:rPr>
    </w:lvl>
    <w:lvl w:ilvl="1" w:tplc="F9783ADA" w:tentative="1">
      <w:start w:val="1"/>
      <w:numFmt w:val="bullet"/>
      <w:lvlText w:val="•"/>
      <w:lvlJc w:val="left"/>
      <w:pPr>
        <w:tabs>
          <w:tab w:val="num" w:pos="1440"/>
        </w:tabs>
        <w:ind w:left="1440" w:hanging="360"/>
      </w:pPr>
      <w:rPr>
        <w:rFonts w:ascii="Arial" w:hAnsi="Arial" w:hint="default"/>
      </w:rPr>
    </w:lvl>
    <w:lvl w:ilvl="2" w:tplc="092E9712" w:tentative="1">
      <w:start w:val="1"/>
      <w:numFmt w:val="bullet"/>
      <w:lvlText w:val="•"/>
      <w:lvlJc w:val="left"/>
      <w:pPr>
        <w:tabs>
          <w:tab w:val="num" w:pos="2160"/>
        </w:tabs>
        <w:ind w:left="2160" w:hanging="360"/>
      </w:pPr>
      <w:rPr>
        <w:rFonts w:ascii="Arial" w:hAnsi="Arial" w:hint="default"/>
      </w:rPr>
    </w:lvl>
    <w:lvl w:ilvl="3" w:tplc="2BBC227C" w:tentative="1">
      <w:start w:val="1"/>
      <w:numFmt w:val="bullet"/>
      <w:lvlText w:val="•"/>
      <w:lvlJc w:val="left"/>
      <w:pPr>
        <w:tabs>
          <w:tab w:val="num" w:pos="2880"/>
        </w:tabs>
        <w:ind w:left="2880" w:hanging="360"/>
      </w:pPr>
      <w:rPr>
        <w:rFonts w:ascii="Arial" w:hAnsi="Arial" w:hint="default"/>
      </w:rPr>
    </w:lvl>
    <w:lvl w:ilvl="4" w:tplc="6E8ED34C" w:tentative="1">
      <w:start w:val="1"/>
      <w:numFmt w:val="bullet"/>
      <w:lvlText w:val="•"/>
      <w:lvlJc w:val="left"/>
      <w:pPr>
        <w:tabs>
          <w:tab w:val="num" w:pos="3600"/>
        </w:tabs>
        <w:ind w:left="3600" w:hanging="360"/>
      </w:pPr>
      <w:rPr>
        <w:rFonts w:ascii="Arial" w:hAnsi="Arial" w:hint="default"/>
      </w:rPr>
    </w:lvl>
    <w:lvl w:ilvl="5" w:tplc="8E3284E2" w:tentative="1">
      <w:start w:val="1"/>
      <w:numFmt w:val="bullet"/>
      <w:lvlText w:val="•"/>
      <w:lvlJc w:val="left"/>
      <w:pPr>
        <w:tabs>
          <w:tab w:val="num" w:pos="4320"/>
        </w:tabs>
        <w:ind w:left="4320" w:hanging="360"/>
      </w:pPr>
      <w:rPr>
        <w:rFonts w:ascii="Arial" w:hAnsi="Arial" w:hint="default"/>
      </w:rPr>
    </w:lvl>
    <w:lvl w:ilvl="6" w:tplc="37F8964C" w:tentative="1">
      <w:start w:val="1"/>
      <w:numFmt w:val="bullet"/>
      <w:lvlText w:val="•"/>
      <w:lvlJc w:val="left"/>
      <w:pPr>
        <w:tabs>
          <w:tab w:val="num" w:pos="5040"/>
        </w:tabs>
        <w:ind w:left="5040" w:hanging="360"/>
      </w:pPr>
      <w:rPr>
        <w:rFonts w:ascii="Arial" w:hAnsi="Arial" w:hint="default"/>
      </w:rPr>
    </w:lvl>
    <w:lvl w:ilvl="7" w:tplc="681A1EFC" w:tentative="1">
      <w:start w:val="1"/>
      <w:numFmt w:val="bullet"/>
      <w:lvlText w:val="•"/>
      <w:lvlJc w:val="left"/>
      <w:pPr>
        <w:tabs>
          <w:tab w:val="num" w:pos="5760"/>
        </w:tabs>
        <w:ind w:left="5760" w:hanging="360"/>
      </w:pPr>
      <w:rPr>
        <w:rFonts w:ascii="Arial" w:hAnsi="Arial" w:hint="default"/>
      </w:rPr>
    </w:lvl>
    <w:lvl w:ilvl="8" w:tplc="2EF82F98" w:tentative="1">
      <w:start w:val="1"/>
      <w:numFmt w:val="bullet"/>
      <w:lvlText w:val="•"/>
      <w:lvlJc w:val="left"/>
      <w:pPr>
        <w:tabs>
          <w:tab w:val="num" w:pos="6480"/>
        </w:tabs>
        <w:ind w:left="6480" w:hanging="360"/>
      </w:pPr>
      <w:rPr>
        <w:rFonts w:ascii="Arial" w:hAnsi="Arial" w:hint="default"/>
      </w:rPr>
    </w:lvl>
  </w:abstractNum>
  <w:abstractNum w:abstractNumId="26">
    <w:nsid w:val="5AAF4150"/>
    <w:multiLevelType w:val="multilevel"/>
    <w:tmpl w:val="B20E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AC62FE2"/>
    <w:multiLevelType w:val="hybridMultilevel"/>
    <w:tmpl w:val="90FCAF2C"/>
    <w:lvl w:ilvl="0" w:tplc="FD2C2DE2">
      <w:start w:val="3"/>
      <w:numFmt w:val="decimal"/>
      <w:lvlText w:val="%1."/>
      <w:lvlJc w:val="left"/>
      <w:pPr>
        <w:ind w:left="3240" w:hanging="360"/>
      </w:pPr>
      <w:rPr>
        <w:rFonts w:hint="default"/>
        <w:color w:val="000000" w:themeColor="text1"/>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28">
    <w:nsid w:val="5C236D69"/>
    <w:multiLevelType w:val="hybridMultilevel"/>
    <w:tmpl w:val="3FDE8A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DDB6B19"/>
    <w:multiLevelType w:val="hybridMultilevel"/>
    <w:tmpl w:val="D1E246DC"/>
    <w:lvl w:ilvl="0" w:tplc="D2DA9718">
      <w:start w:val="1"/>
      <w:numFmt w:val="bullet"/>
      <w:lvlText w:val="•"/>
      <w:lvlJc w:val="left"/>
      <w:pPr>
        <w:tabs>
          <w:tab w:val="num" w:pos="720"/>
        </w:tabs>
        <w:ind w:left="720" w:hanging="360"/>
      </w:pPr>
      <w:rPr>
        <w:rFonts w:ascii="Arial" w:hAnsi="Arial" w:hint="default"/>
      </w:rPr>
    </w:lvl>
    <w:lvl w:ilvl="1" w:tplc="E57A34B6" w:tentative="1">
      <w:start w:val="1"/>
      <w:numFmt w:val="bullet"/>
      <w:lvlText w:val="•"/>
      <w:lvlJc w:val="left"/>
      <w:pPr>
        <w:tabs>
          <w:tab w:val="num" w:pos="1440"/>
        </w:tabs>
        <w:ind w:left="1440" w:hanging="360"/>
      </w:pPr>
      <w:rPr>
        <w:rFonts w:ascii="Arial" w:hAnsi="Arial" w:hint="default"/>
      </w:rPr>
    </w:lvl>
    <w:lvl w:ilvl="2" w:tplc="7666C92C" w:tentative="1">
      <w:start w:val="1"/>
      <w:numFmt w:val="bullet"/>
      <w:lvlText w:val="•"/>
      <w:lvlJc w:val="left"/>
      <w:pPr>
        <w:tabs>
          <w:tab w:val="num" w:pos="2160"/>
        </w:tabs>
        <w:ind w:left="2160" w:hanging="360"/>
      </w:pPr>
      <w:rPr>
        <w:rFonts w:ascii="Arial" w:hAnsi="Arial" w:hint="default"/>
      </w:rPr>
    </w:lvl>
    <w:lvl w:ilvl="3" w:tplc="261C707E" w:tentative="1">
      <w:start w:val="1"/>
      <w:numFmt w:val="bullet"/>
      <w:lvlText w:val="•"/>
      <w:lvlJc w:val="left"/>
      <w:pPr>
        <w:tabs>
          <w:tab w:val="num" w:pos="2880"/>
        </w:tabs>
        <w:ind w:left="2880" w:hanging="360"/>
      </w:pPr>
      <w:rPr>
        <w:rFonts w:ascii="Arial" w:hAnsi="Arial" w:hint="default"/>
      </w:rPr>
    </w:lvl>
    <w:lvl w:ilvl="4" w:tplc="0CFEBA9A" w:tentative="1">
      <w:start w:val="1"/>
      <w:numFmt w:val="bullet"/>
      <w:lvlText w:val="•"/>
      <w:lvlJc w:val="left"/>
      <w:pPr>
        <w:tabs>
          <w:tab w:val="num" w:pos="3600"/>
        </w:tabs>
        <w:ind w:left="3600" w:hanging="360"/>
      </w:pPr>
      <w:rPr>
        <w:rFonts w:ascii="Arial" w:hAnsi="Arial" w:hint="default"/>
      </w:rPr>
    </w:lvl>
    <w:lvl w:ilvl="5" w:tplc="5D7CBB9E" w:tentative="1">
      <w:start w:val="1"/>
      <w:numFmt w:val="bullet"/>
      <w:lvlText w:val="•"/>
      <w:lvlJc w:val="left"/>
      <w:pPr>
        <w:tabs>
          <w:tab w:val="num" w:pos="4320"/>
        </w:tabs>
        <w:ind w:left="4320" w:hanging="360"/>
      </w:pPr>
      <w:rPr>
        <w:rFonts w:ascii="Arial" w:hAnsi="Arial" w:hint="default"/>
      </w:rPr>
    </w:lvl>
    <w:lvl w:ilvl="6" w:tplc="53BA7E10" w:tentative="1">
      <w:start w:val="1"/>
      <w:numFmt w:val="bullet"/>
      <w:lvlText w:val="•"/>
      <w:lvlJc w:val="left"/>
      <w:pPr>
        <w:tabs>
          <w:tab w:val="num" w:pos="5040"/>
        </w:tabs>
        <w:ind w:left="5040" w:hanging="360"/>
      </w:pPr>
      <w:rPr>
        <w:rFonts w:ascii="Arial" w:hAnsi="Arial" w:hint="default"/>
      </w:rPr>
    </w:lvl>
    <w:lvl w:ilvl="7" w:tplc="D166C44E" w:tentative="1">
      <w:start w:val="1"/>
      <w:numFmt w:val="bullet"/>
      <w:lvlText w:val="•"/>
      <w:lvlJc w:val="left"/>
      <w:pPr>
        <w:tabs>
          <w:tab w:val="num" w:pos="5760"/>
        </w:tabs>
        <w:ind w:left="5760" w:hanging="360"/>
      </w:pPr>
      <w:rPr>
        <w:rFonts w:ascii="Arial" w:hAnsi="Arial" w:hint="default"/>
      </w:rPr>
    </w:lvl>
    <w:lvl w:ilvl="8" w:tplc="87E2752C" w:tentative="1">
      <w:start w:val="1"/>
      <w:numFmt w:val="bullet"/>
      <w:lvlText w:val="•"/>
      <w:lvlJc w:val="left"/>
      <w:pPr>
        <w:tabs>
          <w:tab w:val="num" w:pos="6480"/>
        </w:tabs>
        <w:ind w:left="6480" w:hanging="360"/>
      </w:pPr>
      <w:rPr>
        <w:rFonts w:ascii="Arial" w:hAnsi="Arial" w:hint="default"/>
      </w:rPr>
    </w:lvl>
  </w:abstractNum>
  <w:abstractNum w:abstractNumId="30">
    <w:nsid w:val="61BE6E8B"/>
    <w:multiLevelType w:val="hybridMultilevel"/>
    <w:tmpl w:val="6E2CEE40"/>
    <w:lvl w:ilvl="0" w:tplc="0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2EB1AB6"/>
    <w:multiLevelType w:val="hybridMultilevel"/>
    <w:tmpl w:val="F66058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46837F3"/>
    <w:multiLevelType w:val="hybridMultilevel"/>
    <w:tmpl w:val="6D82A3A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4BC4728"/>
    <w:multiLevelType w:val="hybridMultilevel"/>
    <w:tmpl w:val="524480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58C6828"/>
    <w:multiLevelType w:val="hybridMultilevel"/>
    <w:tmpl w:val="148C9852"/>
    <w:lvl w:ilvl="0" w:tplc="FAF2C8A4">
      <w:start w:val="1"/>
      <w:numFmt w:val="bullet"/>
      <w:lvlText w:val=""/>
      <w:lvlJc w:val="left"/>
      <w:pPr>
        <w:tabs>
          <w:tab w:val="num" w:pos="720"/>
        </w:tabs>
        <w:ind w:left="720" w:hanging="360"/>
      </w:pPr>
      <w:rPr>
        <w:rFonts w:ascii="Wingdings" w:hAnsi="Wingdings" w:hint="default"/>
      </w:rPr>
    </w:lvl>
    <w:lvl w:ilvl="1" w:tplc="C56AE540" w:tentative="1">
      <w:start w:val="1"/>
      <w:numFmt w:val="bullet"/>
      <w:lvlText w:val=""/>
      <w:lvlJc w:val="left"/>
      <w:pPr>
        <w:tabs>
          <w:tab w:val="num" w:pos="1440"/>
        </w:tabs>
        <w:ind w:left="1440" w:hanging="360"/>
      </w:pPr>
      <w:rPr>
        <w:rFonts w:ascii="Wingdings" w:hAnsi="Wingdings" w:hint="default"/>
      </w:rPr>
    </w:lvl>
    <w:lvl w:ilvl="2" w:tplc="4F284188" w:tentative="1">
      <w:start w:val="1"/>
      <w:numFmt w:val="bullet"/>
      <w:lvlText w:val=""/>
      <w:lvlJc w:val="left"/>
      <w:pPr>
        <w:tabs>
          <w:tab w:val="num" w:pos="2160"/>
        </w:tabs>
        <w:ind w:left="2160" w:hanging="360"/>
      </w:pPr>
      <w:rPr>
        <w:rFonts w:ascii="Wingdings" w:hAnsi="Wingdings" w:hint="default"/>
      </w:rPr>
    </w:lvl>
    <w:lvl w:ilvl="3" w:tplc="50FC6540" w:tentative="1">
      <w:start w:val="1"/>
      <w:numFmt w:val="bullet"/>
      <w:lvlText w:val=""/>
      <w:lvlJc w:val="left"/>
      <w:pPr>
        <w:tabs>
          <w:tab w:val="num" w:pos="2880"/>
        </w:tabs>
        <w:ind w:left="2880" w:hanging="360"/>
      </w:pPr>
      <w:rPr>
        <w:rFonts w:ascii="Wingdings" w:hAnsi="Wingdings" w:hint="default"/>
      </w:rPr>
    </w:lvl>
    <w:lvl w:ilvl="4" w:tplc="D86E8D20" w:tentative="1">
      <w:start w:val="1"/>
      <w:numFmt w:val="bullet"/>
      <w:lvlText w:val=""/>
      <w:lvlJc w:val="left"/>
      <w:pPr>
        <w:tabs>
          <w:tab w:val="num" w:pos="3600"/>
        </w:tabs>
        <w:ind w:left="3600" w:hanging="360"/>
      </w:pPr>
      <w:rPr>
        <w:rFonts w:ascii="Wingdings" w:hAnsi="Wingdings" w:hint="default"/>
      </w:rPr>
    </w:lvl>
    <w:lvl w:ilvl="5" w:tplc="9D2C4C4C" w:tentative="1">
      <w:start w:val="1"/>
      <w:numFmt w:val="bullet"/>
      <w:lvlText w:val=""/>
      <w:lvlJc w:val="left"/>
      <w:pPr>
        <w:tabs>
          <w:tab w:val="num" w:pos="4320"/>
        </w:tabs>
        <w:ind w:left="4320" w:hanging="360"/>
      </w:pPr>
      <w:rPr>
        <w:rFonts w:ascii="Wingdings" w:hAnsi="Wingdings" w:hint="default"/>
      </w:rPr>
    </w:lvl>
    <w:lvl w:ilvl="6" w:tplc="7F4AA798" w:tentative="1">
      <w:start w:val="1"/>
      <w:numFmt w:val="bullet"/>
      <w:lvlText w:val=""/>
      <w:lvlJc w:val="left"/>
      <w:pPr>
        <w:tabs>
          <w:tab w:val="num" w:pos="5040"/>
        </w:tabs>
        <w:ind w:left="5040" w:hanging="360"/>
      </w:pPr>
      <w:rPr>
        <w:rFonts w:ascii="Wingdings" w:hAnsi="Wingdings" w:hint="default"/>
      </w:rPr>
    </w:lvl>
    <w:lvl w:ilvl="7" w:tplc="F0462F10" w:tentative="1">
      <w:start w:val="1"/>
      <w:numFmt w:val="bullet"/>
      <w:lvlText w:val=""/>
      <w:lvlJc w:val="left"/>
      <w:pPr>
        <w:tabs>
          <w:tab w:val="num" w:pos="5760"/>
        </w:tabs>
        <w:ind w:left="5760" w:hanging="360"/>
      </w:pPr>
      <w:rPr>
        <w:rFonts w:ascii="Wingdings" w:hAnsi="Wingdings" w:hint="default"/>
      </w:rPr>
    </w:lvl>
    <w:lvl w:ilvl="8" w:tplc="C1D82F54" w:tentative="1">
      <w:start w:val="1"/>
      <w:numFmt w:val="bullet"/>
      <w:lvlText w:val=""/>
      <w:lvlJc w:val="left"/>
      <w:pPr>
        <w:tabs>
          <w:tab w:val="num" w:pos="6480"/>
        </w:tabs>
        <w:ind w:left="6480" w:hanging="360"/>
      </w:pPr>
      <w:rPr>
        <w:rFonts w:ascii="Wingdings" w:hAnsi="Wingdings" w:hint="default"/>
      </w:rPr>
    </w:lvl>
  </w:abstractNum>
  <w:abstractNum w:abstractNumId="35">
    <w:nsid w:val="69244BD3"/>
    <w:multiLevelType w:val="hybridMultilevel"/>
    <w:tmpl w:val="65F253CC"/>
    <w:lvl w:ilvl="0" w:tplc="342001E2">
      <w:start w:val="1"/>
      <w:numFmt w:val="bullet"/>
      <w:lvlText w:val=""/>
      <w:lvlJc w:val="left"/>
      <w:pPr>
        <w:tabs>
          <w:tab w:val="num" w:pos="720"/>
        </w:tabs>
        <w:ind w:left="720" w:hanging="360"/>
      </w:pPr>
      <w:rPr>
        <w:rFonts w:ascii="Wingdings" w:hAnsi="Wingdings" w:hint="default"/>
      </w:rPr>
    </w:lvl>
    <w:lvl w:ilvl="1" w:tplc="9F365136" w:tentative="1">
      <w:start w:val="1"/>
      <w:numFmt w:val="bullet"/>
      <w:lvlText w:val=""/>
      <w:lvlJc w:val="left"/>
      <w:pPr>
        <w:tabs>
          <w:tab w:val="num" w:pos="1440"/>
        </w:tabs>
        <w:ind w:left="1440" w:hanging="360"/>
      </w:pPr>
      <w:rPr>
        <w:rFonts w:ascii="Wingdings" w:hAnsi="Wingdings" w:hint="default"/>
      </w:rPr>
    </w:lvl>
    <w:lvl w:ilvl="2" w:tplc="12FED68C" w:tentative="1">
      <w:start w:val="1"/>
      <w:numFmt w:val="bullet"/>
      <w:lvlText w:val=""/>
      <w:lvlJc w:val="left"/>
      <w:pPr>
        <w:tabs>
          <w:tab w:val="num" w:pos="2160"/>
        </w:tabs>
        <w:ind w:left="2160" w:hanging="360"/>
      </w:pPr>
      <w:rPr>
        <w:rFonts w:ascii="Wingdings" w:hAnsi="Wingdings" w:hint="default"/>
      </w:rPr>
    </w:lvl>
    <w:lvl w:ilvl="3" w:tplc="5E6A9A3A" w:tentative="1">
      <w:start w:val="1"/>
      <w:numFmt w:val="bullet"/>
      <w:lvlText w:val=""/>
      <w:lvlJc w:val="left"/>
      <w:pPr>
        <w:tabs>
          <w:tab w:val="num" w:pos="2880"/>
        </w:tabs>
        <w:ind w:left="2880" w:hanging="360"/>
      </w:pPr>
      <w:rPr>
        <w:rFonts w:ascii="Wingdings" w:hAnsi="Wingdings" w:hint="default"/>
      </w:rPr>
    </w:lvl>
    <w:lvl w:ilvl="4" w:tplc="394A4B22" w:tentative="1">
      <w:start w:val="1"/>
      <w:numFmt w:val="bullet"/>
      <w:lvlText w:val=""/>
      <w:lvlJc w:val="left"/>
      <w:pPr>
        <w:tabs>
          <w:tab w:val="num" w:pos="3600"/>
        </w:tabs>
        <w:ind w:left="3600" w:hanging="360"/>
      </w:pPr>
      <w:rPr>
        <w:rFonts w:ascii="Wingdings" w:hAnsi="Wingdings" w:hint="default"/>
      </w:rPr>
    </w:lvl>
    <w:lvl w:ilvl="5" w:tplc="D42C474A" w:tentative="1">
      <w:start w:val="1"/>
      <w:numFmt w:val="bullet"/>
      <w:lvlText w:val=""/>
      <w:lvlJc w:val="left"/>
      <w:pPr>
        <w:tabs>
          <w:tab w:val="num" w:pos="4320"/>
        </w:tabs>
        <w:ind w:left="4320" w:hanging="360"/>
      </w:pPr>
      <w:rPr>
        <w:rFonts w:ascii="Wingdings" w:hAnsi="Wingdings" w:hint="default"/>
      </w:rPr>
    </w:lvl>
    <w:lvl w:ilvl="6" w:tplc="5C64C05A" w:tentative="1">
      <w:start w:val="1"/>
      <w:numFmt w:val="bullet"/>
      <w:lvlText w:val=""/>
      <w:lvlJc w:val="left"/>
      <w:pPr>
        <w:tabs>
          <w:tab w:val="num" w:pos="5040"/>
        </w:tabs>
        <w:ind w:left="5040" w:hanging="360"/>
      </w:pPr>
      <w:rPr>
        <w:rFonts w:ascii="Wingdings" w:hAnsi="Wingdings" w:hint="default"/>
      </w:rPr>
    </w:lvl>
    <w:lvl w:ilvl="7" w:tplc="DEF03F56" w:tentative="1">
      <w:start w:val="1"/>
      <w:numFmt w:val="bullet"/>
      <w:lvlText w:val=""/>
      <w:lvlJc w:val="left"/>
      <w:pPr>
        <w:tabs>
          <w:tab w:val="num" w:pos="5760"/>
        </w:tabs>
        <w:ind w:left="5760" w:hanging="360"/>
      </w:pPr>
      <w:rPr>
        <w:rFonts w:ascii="Wingdings" w:hAnsi="Wingdings" w:hint="default"/>
      </w:rPr>
    </w:lvl>
    <w:lvl w:ilvl="8" w:tplc="4F34D91C" w:tentative="1">
      <w:start w:val="1"/>
      <w:numFmt w:val="bullet"/>
      <w:lvlText w:val=""/>
      <w:lvlJc w:val="left"/>
      <w:pPr>
        <w:tabs>
          <w:tab w:val="num" w:pos="6480"/>
        </w:tabs>
        <w:ind w:left="6480" w:hanging="360"/>
      </w:pPr>
      <w:rPr>
        <w:rFonts w:ascii="Wingdings" w:hAnsi="Wingdings" w:hint="default"/>
      </w:rPr>
    </w:lvl>
  </w:abstractNum>
  <w:abstractNum w:abstractNumId="36">
    <w:nsid w:val="6B67259A"/>
    <w:multiLevelType w:val="hybridMultilevel"/>
    <w:tmpl w:val="63C27FC2"/>
    <w:lvl w:ilvl="0" w:tplc="BD166C82">
      <w:start w:val="1"/>
      <w:numFmt w:val="bullet"/>
      <w:lvlText w:val=""/>
      <w:lvlJc w:val="left"/>
      <w:pPr>
        <w:tabs>
          <w:tab w:val="num" w:pos="720"/>
        </w:tabs>
        <w:ind w:left="720" w:hanging="360"/>
      </w:pPr>
      <w:rPr>
        <w:rFonts w:ascii="Wingdings" w:hAnsi="Wingdings" w:hint="default"/>
      </w:rPr>
    </w:lvl>
    <w:lvl w:ilvl="1" w:tplc="4058E828" w:tentative="1">
      <w:start w:val="1"/>
      <w:numFmt w:val="bullet"/>
      <w:lvlText w:val=""/>
      <w:lvlJc w:val="left"/>
      <w:pPr>
        <w:tabs>
          <w:tab w:val="num" w:pos="1440"/>
        </w:tabs>
        <w:ind w:left="1440" w:hanging="360"/>
      </w:pPr>
      <w:rPr>
        <w:rFonts w:ascii="Wingdings" w:hAnsi="Wingdings" w:hint="default"/>
      </w:rPr>
    </w:lvl>
    <w:lvl w:ilvl="2" w:tplc="FF0AADE0" w:tentative="1">
      <w:start w:val="1"/>
      <w:numFmt w:val="bullet"/>
      <w:lvlText w:val=""/>
      <w:lvlJc w:val="left"/>
      <w:pPr>
        <w:tabs>
          <w:tab w:val="num" w:pos="2160"/>
        </w:tabs>
        <w:ind w:left="2160" w:hanging="360"/>
      </w:pPr>
      <w:rPr>
        <w:rFonts w:ascii="Wingdings" w:hAnsi="Wingdings" w:hint="default"/>
      </w:rPr>
    </w:lvl>
    <w:lvl w:ilvl="3" w:tplc="F7783A1E" w:tentative="1">
      <w:start w:val="1"/>
      <w:numFmt w:val="bullet"/>
      <w:lvlText w:val=""/>
      <w:lvlJc w:val="left"/>
      <w:pPr>
        <w:tabs>
          <w:tab w:val="num" w:pos="2880"/>
        </w:tabs>
        <w:ind w:left="2880" w:hanging="360"/>
      </w:pPr>
      <w:rPr>
        <w:rFonts w:ascii="Wingdings" w:hAnsi="Wingdings" w:hint="default"/>
      </w:rPr>
    </w:lvl>
    <w:lvl w:ilvl="4" w:tplc="F9E2E786" w:tentative="1">
      <w:start w:val="1"/>
      <w:numFmt w:val="bullet"/>
      <w:lvlText w:val=""/>
      <w:lvlJc w:val="left"/>
      <w:pPr>
        <w:tabs>
          <w:tab w:val="num" w:pos="3600"/>
        </w:tabs>
        <w:ind w:left="3600" w:hanging="360"/>
      </w:pPr>
      <w:rPr>
        <w:rFonts w:ascii="Wingdings" w:hAnsi="Wingdings" w:hint="default"/>
      </w:rPr>
    </w:lvl>
    <w:lvl w:ilvl="5" w:tplc="AF42FEB8" w:tentative="1">
      <w:start w:val="1"/>
      <w:numFmt w:val="bullet"/>
      <w:lvlText w:val=""/>
      <w:lvlJc w:val="left"/>
      <w:pPr>
        <w:tabs>
          <w:tab w:val="num" w:pos="4320"/>
        </w:tabs>
        <w:ind w:left="4320" w:hanging="360"/>
      </w:pPr>
      <w:rPr>
        <w:rFonts w:ascii="Wingdings" w:hAnsi="Wingdings" w:hint="default"/>
      </w:rPr>
    </w:lvl>
    <w:lvl w:ilvl="6" w:tplc="70C83F7C" w:tentative="1">
      <w:start w:val="1"/>
      <w:numFmt w:val="bullet"/>
      <w:lvlText w:val=""/>
      <w:lvlJc w:val="left"/>
      <w:pPr>
        <w:tabs>
          <w:tab w:val="num" w:pos="5040"/>
        </w:tabs>
        <w:ind w:left="5040" w:hanging="360"/>
      </w:pPr>
      <w:rPr>
        <w:rFonts w:ascii="Wingdings" w:hAnsi="Wingdings" w:hint="default"/>
      </w:rPr>
    </w:lvl>
    <w:lvl w:ilvl="7" w:tplc="F4F62862" w:tentative="1">
      <w:start w:val="1"/>
      <w:numFmt w:val="bullet"/>
      <w:lvlText w:val=""/>
      <w:lvlJc w:val="left"/>
      <w:pPr>
        <w:tabs>
          <w:tab w:val="num" w:pos="5760"/>
        </w:tabs>
        <w:ind w:left="5760" w:hanging="360"/>
      </w:pPr>
      <w:rPr>
        <w:rFonts w:ascii="Wingdings" w:hAnsi="Wingdings" w:hint="default"/>
      </w:rPr>
    </w:lvl>
    <w:lvl w:ilvl="8" w:tplc="82E4ED7C" w:tentative="1">
      <w:start w:val="1"/>
      <w:numFmt w:val="bullet"/>
      <w:lvlText w:val=""/>
      <w:lvlJc w:val="left"/>
      <w:pPr>
        <w:tabs>
          <w:tab w:val="num" w:pos="6480"/>
        </w:tabs>
        <w:ind w:left="6480" w:hanging="360"/>
      </w:pPr>
      <w:rPr>
        <w:rFonts w:ascii="Wingdings" w:hAnsi="Wingdings" w:hint="default"/>
      </w:rPr>
    </w:lvl>
  </w:abstractNum>
  <w:abstractNum w:abstractNumId="37">
    <w:nsid w:val="71EC2C29"/>
    <w:multiLevelType w:val="hybridMultilevel"/>
    <w:tmpl w:val="CE68EDB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7D73A77"/>
    <w:multiLevelType w:val="hybridMultilevel"/>
    <w:tmpl w:val="372E3C52"/>
    <w:lvl w:ilvl="0" w:tplc="E918CCD2">
      <w:start w:val="5"/>
      <w:numFmt w:val="decimal"/>
      <w:lvlText w:val="%1."/>
      <w:lvlJc w:val="left"/>
      <w:pPr>
        <w:ind w:left="3240" w:hanging="360"/>
      </w:pPr>
      <w:rPr>
        <w:rFonts w:hint="default"/>
      </w:r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39">
    <w:nsid w:val="7ED05886"/>
    <w:multiLevelType w:val="hybridMultilevel"/>
    <w:tmpl w:val="6E2CEE40"/>
    <w:lvl w:ilvl="0" w:tplc="0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1"/>
  </w:num>
  <w:num w:numId="4">
    <w:abstractNumId w:val="9"/>
  </w:num>
  <w:num w:numId="5">
    <w:abstractNumId w:val="22"/>
  </w:num>
  <w:num w:numId="6">
    <w:abstractNumId w:val="19"/>
  </w:num>
  <w:num w:numId="7">
    <w:abstractNumId w:val="25"/>
  </w:num>
  <w:num w:numId="8">
    <w:abstractNumId w:val="34"/>
  </w:num>
  <w:num w:numId="9">
    <w:abstractNumId w:val="23"/>
  </w:num>
  <w:num w:numId="10">
    <w:abstractNumId w:val="35"/>
  </w:num>
  <w:num w:numId="11">
    <w:abstractNumId w:val="4"/>
  </w:num>
  <w:num w:numId="12">
    <w:abstractNumId w:val="1"/>
  </w:num>
  <w:num w:numId="13">
    <w:abstractNumId w:val="31"/>
  </w:num>
  <w:num w:numId="14">
    <w:abstractNumId w:val="32"/>
  </w:num>
  <w:num w:numId="15">
    <w:abstractNumId w:val="37"/>
  </w:num>
  <w:num w:numId="16">
    <w:abstractNumId w:val="24"/>
  </w:num>
  <w:num w:numId="17">
    <w:abstractNumId w:val="8"/>
  </w:num>
  <w:num w:numId="18">
    <w:abstractNumId w:val="13"/>
  </w:num>
  <w:num w:numId="19">
    <w:abstractNumId w:val="28"/>
  </w:num>
  <w:num w:numId="20">
    <w:abstractNumId w:val="6"/>
  </w:num>
  <w:num w:numId="21">
    <w:abstractNumId w:val="20"/>
  </w:num>
  <w:num w:numId="22">
    <w:abstractNumId w:val="12"/>
  </w:num>
  <w:num w:numId="23">
    <w:abstractNumId w:val="7"/>
  </w:num>
  <w:num w:numId="24">
    <w:abstractNumId w:val="38"/>
  </w:num>
  <w:num w:numId="25">
    <w:abstractNumId w:val="0"/>
  </w:num>
  <w:num w:numId="26">
    <w:abstractNumId w:val="17"/>
  </w:num>
  <w:num w:numId="27">
    <w:abstractNumId w:val="27"/>
  </w:num>
  <w:num w:numId="28">
    <w:abstractNumId w:val="14"/>
  </w:num>
  <w:num w:numId="29">
    <w:abstractNumId w:val="5"/>
  </w:num>
  <w:num w:numId="30">
    <w:abstractNumId w:val="18"/>
  </w:num>
  <w:num w:numId="31">
    <w:abstractNumId w:val="2"/>
  </w:num>
  <w:num w:numId="32">
    <w:abstractNumId w:val="15"/>
  </w:num>
  <w:num w:numId="33">
    <w:abstractNumId w:val="39"/>
  </w:num>
  <w:num w:numId="34">
    <w:abstractNumId w:val="33"/>
  </w:num>
  <w:num w:numId="35">
    <w:abstractNumId w:val="29"/>
  </w:num>
  <w:num w:numId="36">
    <w:abstractNumId w:val="10"/>
  </w:num>
  <w:num w:numId="37">
    <w:abstractNumId w:val="21"/>
  </w:num>
  <w:num w:numId="38">
    <w:abstractNumId w:val="3"/>
  </w:num>
  <w:num w:numId="39">
    <w:abstractNumId w:val="3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85"/>
    <w:rsid w:val="00006D4C"/>
    <w:rsid w:val="00086562"/>
    <w:rsid w:val="000D1F84"/>
    <w:rsid w:val="0010013C"/>
    <w:rsid w:val="00117078"/>
    <w:rsid w:val="001315B5"/>
    <w:rsid w:val="001A3798"/>
    <w:rsid w:val="00241F6A"/>
    <w:rsid w:val="002504DC"/>
    <w:rsid w:val="00254572"/>
    <w:rsid w:val="00265EBA"/>
    <w:rsid w:val="00266029"/>
    <w:rsid w:val="002D2A0B"/>
    <w:rsid w:val="00334EB9"/>
    <w:rsid w:val="00346F6C"/>
    <w:rsid w:val="003C4F72"/>
    <w:rsid w:val="00401301"/>
    <w:rsid w:val="00406DE8"/>
    <w:rsid w:val="0042204B"/>
    <w:rsid w:val="00443F28"/>
    <w:rsid w:val="004501F2"/>
    <w:rsid w:val="004B4D73"/>
    <w:rsid w:val="004F4A9F"/>
    <w:rsid w:val="00506844"/>
    <w:rsid w:val="00506F58"/>
    <w:rsid w:val="0051525A"/>
    <w:rsid w:val="00601E44"/>
    <w:rsid w:val="006245C5"/>
    <w:rsid w:val="00627350"/>
    <w:rsid w:val="0067344E"/>
    <w:rsid w:val="0067713E"/>
    <w:rsid w:val="006B06BB"/>
    <w:rsid w:val="006B23F3"/>
    <w:rsid w:val="006C4BF4"/>
    <w:rsid w:val="006D6FC4"/>
    <w:rsid w:val="0070047A"/>
    <w:rsid w:val="00710E0B"/>
    <w:rsid w:val="00732EA1"/>
    <w:rsid w:val="007A4A23"/>
    <w:rsid w:val="007E7F24"/>
    <w:rsid w:val="007F2117"/>
    <w:rsid w:val="007F3EF6"/>
    <w:rsid w:val="008016A3"/>
    <w:rsid w:val="00814AB2"/>
    <w:rsid w:val="0081722E"/>
    <w:rsid w:val="008709BA"/>
    <w:rsid w:val="008A05D4"/>
    <w:rsid w:val="008A3C0B"/>
    <w:rsid w:val="008D4590"/>
    <w:rsid w:val="009218CF"/>
    <w:rsid w:val="0097681C"/>
    <w:rsid w:val="00984EEB"/>
    <w:rsid w:val="009909D2"/>
    <w:rsid w:val="009921CD"/>
    <w:rsid w:val="009A3782"/>
    <w:rsid w:val="009A5432"/>
    <w:rsid w:val="00A0608C"/>
    <w:rsid w:val="00A14F60"/>
    <w:rsid w:val="00A175D4"/>
    <w:rsid w:val="00A44E1B"/>
    <w:rsid w:val="00A571E1"/>
    <w:rsid w:val="00A659C3"/>
    <w:rsid w:val="00A757ED"/>
    <w:rsid w:val="00AA7016"/>
    <w:rsid w:val="00AB7C09"/>
    <w:rsid w:val="00AC1696"/>
    <w:rsid w:val="00AD03AF"/>
    <w:rsid w:val="00B07D3B"/>
    <w:rsid w:val="00B43DA9"/>
    <w:rsid w:val="00B62490"/>
    <w:rsid w:val="00B9253C"/>
    <w:rsid w:val="00B979E4"/>
    <w:rsid w:val="00BB7D4C"/>
    <w:rsid w:val="00BC6F58"/>
    <w:rsid w:val="00C06E41"/>
    <w:rsid w:val="00C24900"/>
    <w:rsid w:val="00C26ADD"/>
    <w:rsid w:val="00C402B7"/>
    <w:rsid w:val="00C4783A"/>
    <w:rsid w:val="00C703D7"/>
    <w:rsid w:val="00C81C5B"/>
    <w:rsid w:val="00C93047"/>
    <w:rsid w:val="00CA7085"/>
    <w:rsid w:val="00CB372B"/>
    <w:rsid w:val="00D1117D"/>
    <w:rsid w:val="00D27707"/>
    <w:rsid w:val="00D623C5"/>
    <w:rsid w:val="00D71099"/>
    <w:rsid w:val="00D82EDA"/>
    <w:rsid w:val="00DB734D"/>
    <w:rsid w:val="00DB7CD8"/>
    <w:rsid w:val="00E30E39"/>
    <w:rsid w:val="00E532D5"/>
    <w:rsid w:val="00EF7F15"/>
    <w:rsid w:val="00F4688B"/>
    <w:rsid w:val="00F86C58"/>
    <w:rsid w:val="00F87FF2"/>
    <w:rsid w:val="00FF0F34"/>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7B"/>
    <w:rPr>
      <w:rFonts w:ascii="Tahoma" w:hAnsi="Tahoma"/>
      <w:sz w:val="24"/>
      <w:lang w:eastAsia="es-ES"/>
    </w:rPr>
  </w:style>
  <w:style w:type="paragraph" w:styleId="Ttulo1">
    <w:name w:val="heading 1"/>
    <w:basedOn w:val="Normal"/>
    <w:next w:val="Normal"/>
    <w:qFormat/>
    <w:rsid w:val="001B447B"/>
    <w:pPr>
      <w:keepNext/>
      <w:outlineLvl w:val="0"/>
    </w:pPr>
    <w:rPr>
      <w:b/>
      <w:bCs/>
    </w:rPr>
  </w:style>
  <w:style w:type="paragraph" w:styleId="Ttulo2">
    <w:name w:val="heading 2"/>
    <w:basedOn w:val="Normal"/>
    <w:next w:val="Normal"/>
    <w:qFormat/>
    <w:rsid w:val="001B447B"/>
    <w:pPr>
      <w:keepNext/>
      <w:jc w:val="center"/>
      <w:outlineLvl w:val="1"/>
    </w:pPr>
    <w:rPr>
      <w:rFonts w:ascii="Arial" w:hAnsi="Arial" w:cs="Arial"/>
      <w:b/>
      <w:bCs/>
      <w:sz w:val="20"/>
    </w:rPr>
  </w:style>
  <w:style w:type="paragraph" w:styleId="Ttulo3">
    <w:name w:val="heading 3"/>
    <w:basedOn w:val="Normal"/>
    <w:next w:val="Normal"/>
    <w:qFormat/>
    <w:rsid w:val="001B447B"/>
    <w:pPr>
      <w:keepNex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rsid w:val="001B447B"/>
  </w:style>
  <w:style w:type="character" w:customStyle="1" w:styleId="EncabezadoCar">
    <w:name w:val="Encabezado Car"/>
    <w:basedOn w:val="Fuentedeprrafopredeter"/>
    <w:link w:val="Encabezado"/>
    <w:qFormat/>
    <w:rsid w:val="00191BD2"/>
    <w:rPr>
      <w:rFonts w:ascii="Tahoma" w:hAnsi="Tahoma"/>
      <w:sz w:val="24"/>
      <w:lang w:eastAsia="es-ES"/>
    </w:rPr>
  </w:style>
  <w:style w:type="character" w:customStyle="1" w:styleId="apple-converted-space">
    <w:name w:val="apple-converted-space"/>
    <w:basedOn w:val="Fuentedeprrafopredeter"/>
    <w:qFormat/>
    <w:rsid w:val="00BD0ED7"/>
  </w:style>
  <w:style w:type="character" w:customStyle="1" w:styleId="EnlacedeInternet">
    <w:name w:val="Enlace de Internet"/>
    <w:basedOn w:val="Fuentedeprrafopredeter"/>
    <w:uiPriority w:val="99"/>
    <w:unhideWhenUsed/>
    <w:rsid w:val="00825317"/>
    <w:rPr>
      <w:color w:val="0000FF" w:themeColor="hyperlink"/>
      <w:u w:val="single"/>
    </w:rPr>
  </w:style>
  <w:style w:type="character" w:customStyle="1" w:styleId="Mencinsinresolver1">
    <w:name w:val="Mención sin resolver1"/>
    <w:basedOn w:val="Fuentedeprrafopredeter"/>
    <w:uiPriority w:val="99"/>
    <w:semiHidden/>
    <w:unhideWhenUsed/>
    <w:qFormat/>
    <w:rsid w:val="008A1079"/>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rPr>
      <w:rFonts w:cs="Mangal"/>
    </w:rPr>
  </w:style>
  <w:style w:type="paragraph" w:styleId="Encabezado">
    <w:name w:val="header"/>
    <w:basedOn w:val="Normal"/>
    <w:link w:val="EncabezadoCar"/>
    <w:rsid w:val="001B447B"/>
    <w:pPr>
      <w:tabs>
        <w:tab w:val="center" w:pos="4252"/>
        <w:tab w:val="right" w:pos="8504"/>
      </w:tabs>
    </w:pPr>
  </w:style>
  <w:style w:type="paragraph" w:styleId="Piedepgina">
    <w:name w:val="footer"/>
    <w:basedOn w:val="Normal"/>
    <w:semiHidden/>
    <w:rsid w:val="001B447B"/>
    <w:pPr>
      <w:tabs>
        <w:tab w:val="center" w:pos="4252"/>
        <w:tab w:val="right" w:pos="8504"/>
      </w:tabs>
    </w:pPr>
  </w:style>
  <w:style w:type="paragraph" w:styleId="Textodeglobo">
    <w:name w:val="Balloon Text"/>
    <w:basedOn w:val="Normal"/>
    <w:semiHidden/>
    <w:qFormat/>
    <w:rsid w:val="001B447B"/>
    <w:rPr>
      <w:rFonts w:cs="Tahoma"/>
      <w:sz w:val="16"/>
      <w:szCs w:val="16"/>
    </w:rPr>
  </w:style>
  <w:style w:type="paragraph" w:styleId="Prrafodelista">
    <w:name w:val="List Paragraph"/>
    <w:basedOn w:val="Normal"/>
    <w:uiPriority w:val="34"/>
    <w:qFormat/>
    <w:rsid w:val="00BD0ED7"/>
    <w:pPr>
      <w:ind w:left="720"/>
      <w:contextualSpacing/>
    </w:pPr>
  </w:style>
  <w:style w:type="paragraph" w:styleId="NormalWeb">
    <w:name w:val="Normal (Web)"/>
    <w:basedOn w:val="Normal"/>
    <w:uiPriority w:val="99"/>
    <w:unhideWhenUsed/>
    <w:qFormat/>
    <w:rsid w:val="00C6234D"/>
    <w:pPr>
      <w:spacing w:beforeAutospacing="1" w:afterAutospacing="1"/>
    </w:pPr>
    <w:rPr>
      <w:rFonts w:ascii="Times New Roman" w:hAnsi="Times New Roman"/>
      <w:szCs w:val="24"/>
      <w:lang w:eastAsia="es-CO"/>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table" w:styleId="Tablaconcuadrcula">
    <w:name w:val="Table Grid"/>
    <w:basedOn w:val="Tablanormal"/>
    <w:uiPriority w:val="59"/>
    <w:rsid w:val="004D1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254572"/>
    <w:rPr>
      <w:color w:val="0000FF" w:themeColor="hyperlink"/>
      <w:u w:val="single"/>
    </w:rPr>
  </w:style>
  <w:style w:type="paragraph" w:styleId="Sinespaciado">
    <w:name w:val="No Spacing"/>
    <w:uiPriority w:val="1"/>
    <w:qFormat/>
    <w:rsid w:val="00D1117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7B"/>
    <w:rPr>
      <w:rFonts w:ascii="Tahoma" w:hAnsi="Tahoma"/>
      <w:sz w:val="24"/>
      <w:lang w:eastAsia="es-ES"/>
    </w:rPr>
  </w:style>
  <w:style w:type="paragraph" w:styleId="Ttulo1">
    <w:name w:val="heading 1"/>
    <w:basedOn w:val="Normal"/>
    <w:next w:val="Normal"/>
    <w:qFormat/>
    <w:rsid w:val="001B447B"/>
    <w:pPr>
      <w:keepNext/>
      <w:outlineLvl w:val="0"/>
    </w:pPr>
    <w:rPr>
      <w:b/>
      <w:bCs/>
    </w:rPr>
  </w:style>
  <w:style w:type="paragraph" w:styleId="Ttulo2">
    <w:name w:val="heading 2"/>
    <w:basedOn w:val="Normal"/>
    <w:next w:val="Normal"/>
    <w:qFormat/>
    <w:rsid w:val="001B447B"/>
    <w:pPr>
      <w:keepNext/>
      <w:jc w:val="center"/>
      <w:outlineLvl w:val="1"/>
    </w:pPr>
    <w:rPr>
      <w:rFonts w:ascii="Arial" w:hAnsi="Arial" w:cs="Arial"/>
      <w:b/>
      <w:bCs/>
      <w:sz w:val="20"/>
    </w:rPr>
  </w:style>
  <w:style w:type="paragraph" w:styleId="Ttulo3">
    <w:name w:val="heading 3"/>
    <w:basedOn w:val="Normal"/>
    <w:next w:val="Normal"/>
    <w:qFormat/>
    <w:rsid w:val="001B447B"/>
    <w:pPr>
      <w:keepNex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rsid w:val="001B447B"/>
  </w:style>
  <w:style w:type="character" w:customStyle="1" w:styleId="EncabezadoCar">
    <w:name w:val="Encabezado Car"/>
    <w:basedOn w:val="Fuentedeprrafopredeter"/>
    <w:link w:val="Encabezado"/>
    <w:qFormat/>
    <w:rsid w:val="00191BD2"/>
    <w:rPr>
      <w:rFonts w:ascii="Tahoma" w:hAnsi="Tahoma"/>
      <w:sz w:val="24"/>
      <w:lang w:eastAsia="es-ES"/>
    </w:rPr>
  </w:style>
  <w:style w:type="character" w:customStyle="1" w:styleId="apple-converted-space">
    <w:name w:val="apple-converted-space"/>
    <w:basedOn w:val="Fuentedeprrafopredeter"/>
    <w:qFormat/>
    <w:rsid w:val="00BD0ED7"/>
  </w:style>
  <w:style w:type="character" w:customStyle="1" w:styleId="EnlacedeInternet">
    <w:name w:val="Enlace de Internet"/>
    <w:basedOn w:val="Fuentedeprrafopredeter"/>
    <w:uiPriority w:val="99"/>
    <w:unhideWhenUsed/>
    <w:rsid w:val="00825317"/>
    <w:rPr>
      <w:color w:val="0000FF" w:themeColor="hyperlink"/>
      <w:u w:val="single"/>
    </w:rPr>
  </w:style>
  <w:style w:type="character" w:customStyle="1" w:styleId="Mencinsinresolver1">
    <w:name w:val="Mención sin resolver1"/>
    <w:basedOn w:val="Fuentedeprrafopredeter"/>
    <w:uiPriority w:val="99"/>
    <w:semiHidden/>
    <w:unhideWhenUsed/>
    <w:qFormat/>
    <w:rsid w:val="008A1079"/>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Cs w:val="24"/>
    </w:rPr>
  </w:style>
  <w:style w:type="paragraph" w:customStyle="1" w:styleId="ndice">
    <w:name w:val="Índice"/>
    <w:basedOn w:val="Normal"/>
    <w:qFormat/>
    <w:pPr>
      <w:suppressLineNumbers/>
    </w:pPr>
    <w:rPr>
      <w:rFonts w:cs="Mangal"/>
    </w:rPr>
  </w:style>
  <w:style w:type="paragraph" w:styleId="Encabezado">
    <w:name w:val="header"/>
    <w:basedOn w:val="Normal"/>
    <w:link w:val="EncabezadoCar"/>
    <w:rsid w:val="001B447B"/>
    <w:pPr>
      <w:tabs>
        <w:tab w:val="center" w:pos="4252"/>
        <w:tab w:val="right" w:pos="8504"/>
      </w:tabs>
    </w:pPr>
  </w:style>
  <w:style w:type="paragraph" w:styleId="Piedepgina">
    <w:name w:val="footer"/>
    <w:basedOn w:val="Normal"/>
    <w:semiHidden/>
    <w:rsid w:val="001B447B"/>
    <w:pPr>
      <w:tabs>
        <w:tab w:val="center" w:pos="4252"/>
        <w:tab w:val="right" w:pos="8504"/>
      </w:tabs>
    </w:pPr>
  </w:style>
  <w:style w:type="paragraph" w:styleId="Textodeglobo">
    <w:name w:val="Balloon Text"/>
    <w:basedOn w:val="Normal"/>
    <w:semiHidden/>
    <w:qFormat/>
    <w:rsid w:val="001B447B"/>
    <w:rPr>
      <w:rFonts w:cs="Tahoma"/>
      <w:sz w:val="16"/>
      <w:szCs w:val="16"/>
    </w:rPr>
  </w:style>
  <w:style w:type="paragraph" w:styleId="Prrafodelista">
    <w:name w:val="List Paragraph"/>
    <w:basedOn w:val="Normal"/>
    <w:uiPriority w:val="34"/>
    <w:qFormat/>
    <w:rsid w:val="00BD0ED7"/>
    <w:pPr>
      <w:ind w:left="720"/>
      <w:contextualSpacing/>
    </w:pPr>
  </w:style>
  <w:style w:type="paragraph" w:styleId="NormalWeb">
    <w:name w:val="Normal (Web)"/>
    <w:basedOn w:val="Normal"/>
    <w:uiPriority w:val="99"/>
    <w:unhideWhenUsed/>
    <w:qFormat/>
    <w:rsid w:val="00C6234D"/>
    <w:pPr>
      <w:spacing w:beforeAutospacing="1" w:afterAutospacing="1"/>
    </w:pPr>
    <w:rPr>
      <w:rFonts w:ascii="Times New Roman" w:hAnsi="Times New Roman"/>
      <w:szCs w:val="24"/>
      <w:lang w:eastAsia="es-CO"/>
    </w:rPr>
  </w:style>
  <w:style w:type="paragraph" w:customStyle="1" w:styleId="Contenidodelmarco">
    <w:name w:val="Contenido del marco"/>
    <w:basedOn w:val="Normal"/>
    <w:qFormat/>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table" w:styleId="Tablaconcuadrcula">
    <w:name w:val="Table Grid"/>
    <w:basedOn w:val="Tablanormal"/>
    <w:uiPriority w:val="59"/>
    <w:rsid w:val="004D17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254572"/>
    <w:rPr>
      <w:color w:val="0000FF" w:themeColor="hyperlink"/>
      <w:u w:val="single"/>
    </w:rPr>
  </w:style>
  <w:style w:type="paragraph" w:styleId="Sinespaciado">
    <w:name w:val="No Spacing"/>
    <w:uiPriority w:val="1"/>
    <w:qFormat/>
    <w:rsid w:val="00D1117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666031">
      <w:bodyDiv w:val="1"/>
      <w:marLeft w:val="0"/>
      <w:marRight w:val="0"/>
      <w:marTop w:val="0"/>
      <w:marBottom w:val="0"/>
      <w:divBdr>
        <w:top w:val="none" w:sz="0" w:space="0" w:color="auto"/>
        <w:left w:val="none" w:sz="0" w:space="0" w:color="auto"/>
        <w:bottom w:val="none" w:sz="0" w:space="0" w:color="auto"/>
        <w:right w:val="none" w:sz="0" w:space="0" w:color="auto"/>
      </w:divBdr>
    </w:div>
    <w:div w:id="1643541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1F2AE-1F66-4D38-8C45-7B08CDE0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2245</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NOMBRE</vt:lpstr>
    </vt:vector>
  </TitlesOfParts>
  <Company>Monica</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dc:title>
  <dc:creator>Familia Gonzalez</dc:creator>
  <cp:lastModifiedBy>Usuario Hospital de Suba</cp:lastModifiedBy>
  <cp:revision>9</cp:revision>
  <cp:lastPrinted>2016-07-19T22:50:00Z</cp:lastPrinted>
  <dcterms:created xsi:type="dcterms:W3CDTF">2018-04-05T21:46:00Z</dcterms:created>
  <dcterms:modified xsi:type="dcterms:W3CDTF">2018-04-12T17:16:00Z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Monica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