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49" w:type="dxa"/>
        <w:tblInd w:w="-357" w:type="dxa"/>
        <w:tblBorders>
          <w:top w:val="double" w:sz="4" w:space="0" w:color="00000A"/>
          <w:left w:val="double" w:sz="4" w:space="0" w:color="00000A"/>
          <w:bottom w:val="double" w:sz="4" w:space="0" w:color="00000A"/>
          <w:right w:val="double" w:sz="4" w:space="0" w:color="00000A"/>
          <w:insideH w:val="double" w:sz="4" w:space="0" w:color="00000A"/>
          <w:insideV w:val="double" w:sz="4" w:space="0" w:color="00000A"/>
        </w:tblBorders>
        <w:tblCellMar>
          <w:left w:w="69" w:type="dxa"/>
          <w:right w:w="70" w:type="dxa"/>
        </w:tblCellMar>
        <w:tblLook w:val="0000" w:firstRow="0" w:lastRow="0" w:firstColumn="0" w:lastColumn="0" w:noHBand="0" w:noVBand="0"/>
      </w:tblPr>
      <w:tblGrid>
        <w:gridCol w:w="4820"/>
        <w:gridCol w:w="2836"/>
        <w:gridCol w:w="2693"/>
      </w:tblGrid>
      <w:tr w:rsidR="00CA7085">
        <w:trPr>
          <w:trHeight w:val="382"/>
        </w:trPr>
        <w:tc>
          <w:tcPr>
            <w:tcW w:w="4820" w:type="dxa"/>
            <w:tcBorders>
              <w:top w:val="double" w:sz="4" w:space="0" w:color="00000A"/>
              <w:left w:val="double" w:sz="4" w:space="0" w:color="00000A"/>
              <w:bottom w:val="double" w:sz="4" w:space="0" w:color="00000A"/>
              <w:right w:val="double" w:sz="4" w:space="0" w:color="00000A"/>
            </w:tcBorders>
            <w:shd w:val="clear" w:color="auto" w:fill="auto"/>
            <w:tcMar>
              <w:left w:w="69" w:type="dxa"/>
            </w:tcMar>
          </w:tcPr>
          <w:p w:rsidR="00CA7085" w:rsidRDefault="00C402B7" w:rsidP="008D4590">
            <w:pPr>
              <w:pStyle w:val="Contenidodelatabla"/>
              <w:rPr>
                <w:rFonts w:cs="Arial"/>
              </w:rPr>
            </w:pPr>
            <w:r>
              <w:t>No. DE ACTA:</w:t>
            </w:r>
            <w:r>
              <w:tab/>
            </w:r>
          </w:p>
        </w:tc>
        <w:tc>
          <w:tcPr>
            <w:tcW w:w="5529" w:type="dxa"/>
            <w:gridSpan w:val="2"/>
            <w:tcBorders>
              <w:top w:val="double" w:sz="4" w:space="0" w:color="00000A"/>
              <w:left w:val="double" w:sz="4" w:space="0" w:color="00000A"/>
              <w:bottom w:val="double" w:sz="4" w:space="0" w:color="00000A"/>
              <w:right w:val="double" w:sz="4" w:space="0" w:color="00000A"/>
            </w:tcBorders>
            <w:shd w:val="clear" w:color="auto" w:fill="auto"/>
            <w:tcMar>
              <w:left w:w="69" w:type="dxa"/>
            </w:tcMar>
          </w:tcPr>
          <w:p w:rsidR="00CA7085" w:rsidRDefault="00C402B7">
            <w:r>
              <w:rPr>
                <w:rFonts w:ascii="Century Gothic" w:hAnsi="Century Gothic"/>
                <w:b/>
                <w:sz w:val="20"/>
              </w:rPr>
              <w:t xml:space="preserve">FECHA: </w:t>
            </w:r>
            <w:r w:rsidR="0010013C">
              <w:rPr>
                <w:rFonts w:ascii="Century Gothic" w:hAnsi="Century Gothic"/>
                <w:sz w:val="20"/>
              </w:rPr>
              <w:t>21</w:t>
            </w:r>
            <w:r>
              <w:rPr>
                <w:rFonts w:ascii="Century Gothic" w:hAnsi="Century Gothic"/>
                <w:sz w:val="20"/>
              </w:rPr>
              <w:t>/02/2018</w:t>
            </w:r>
          </w:p>
        </w:tc>
      </w:tr>
      <w:tr w:rsidR="00CA7085">
        <w:trPr>
          <w:trHeight w:val="382"/>
        </w:trPr>
        <w:tc>
          <w:tcPr>
            <w:tcW w:w="4820" w:type="dxa"/>
            <w:tcBorders>
              <w:top w:val="double" w:sz="4" w:space="0" w:color="00000A"/>
              <w:left w:val="double" w:sz="4" w:space="0" w:color="00000A"/>
              <w:bottom w:val="double" w:sz="4" w:space="0" w:color="00000A"/>
              <w:right w:val="double" w:sz="4" w:space="0" w:color="00000A"/>
            </w:tcBorders>
            <w:shd w:val="clear" w:color="auto" w:fill="auto"/>
            <w:tcMar>
              <w:left w:w="69" w:type="dxa"/>
            </w:tcMar>
          </w:tcPr>
          <w:p w:rsidR="00CA7085" w:rsidRDefault="00C402B7" w:rsidP="00AD03AF">
            <w:r>
              <w:rPr>
                <w:rFonts w:ascii="Century Gothic" w:hAnsi="Century Gothic"/>
                <w:b/>
                <w:sz w:val="20"/>
              </w:rPr>
              <w:t>REUNIÓN</w:t>
            </w:r>
            <w:r w:rsidR="007F3EF6">
              <w:rPr>
                <w:rFonts w:ascii="Century Gothic" w:hAnsi="Century Gothic"/>
                <w:b/>
                <w:sz w:val="20"/>
              </w:rPr>
              <w:t xml:space="preserve">: </w:t>
            </w:r>
            <w:r w:rsidR="007F3EF6">
              <w:rPr>
                <w:rFonts w:ascii="Century Gothic" w:hAnsi="Century Gothic"/>
                <w:sz w:val="20"/>
              </w:rPr>
              <w:t>COMITÉ</w:t>
            </w:r>
            <w:r>
              <w:rPr>
                <w:rFonts w:ascii="Century Gothic" w:hAnsi="Century Gothic"/>
                <w:sz w:val="20"/>
              </w:rPr>
              <w:t xml:space="preserve"> DE VIGILANCIA EPIDEMIOLOGICO LOCALIDAD </w:t>
            </w:r>
            <w:r w:rsidR="00AD03AF">
              <w:rPr>
                <w:rFonts w:ascii="Century Gothic" w:hAnsi="Century Gothic"/>
                <w:sz w:val="20"/>
              </w:rPr>
              <w:t>SUBA</w:t>
            </w:r>
          </w:p>
        </w:tc>
        <w:tc>
          <w:tcPr>
            <w:tcW w:w="2836" w:type="dxa"/>
            <w:tcBorders>
              <w:top w:val="double" w:sz="4" w:space="0" w:color="00000A"/>
              <w:left w:val="double" w:sz="4" w:space="0" w:color="00000A"/>
              <w:bottom w:val="double" w:sz="4" w:space="0" w:color="00000A"/>
              <w:right w:val="double" w:sz="4" w:space="0" w:color="00000A"/>
            </w:tcBorders>
            <w:shd w:val="clear" w:color="auto" w:fill="auto"/>
            <w:tcMar>
              <w:left w:w="69" w:type="dxa"/>
            </w:tcMar>
          </w:tcPr>
          <w:p w:rsidR="00CA7085" w:rsidRDefault="00C402B7">
            <w:pPr>
              <w:rPr>
                <w:rFonts w:ascii="Century Gothic" w:hAnsi="Century Gothic"/>
                <w:b/>
                <w:sz w:val="20"/>
              </w:rPr>
            </w:pPr>
            <w:r>
              <w:rPr>
                <w:rFonts w:ascii="Century Gothic" w:hAnsi="Century Gothic"/>
                <w:b/>
                <w:sz w:val="20"/>
              </w:rPr>
              <w:t xml:space="preserve">HORA DE INICIO: </w:t>
            </w:r>
            <w:r>
              <w:rPr>
                <w:rFonts w:ascii="Century Gothic" w:hAnsi="Century Gothic"/>
                <w:sz w:val="20"/>
              </w:rPr>
              <w:t>8:00AM</w:t>
            </w:r>
          </w:p>
        </w:tc>
        <w:tc>
          <w:tcPr>
            <w:tcW w:w="2693" w:type="dxa"/>
            <w:tcBorders>
              <w:top w:val="double" w:sz="4" w:space="0" w:color="00000A"/>
              <w:left w:val="double" w:sz="4" w:space="0" w:color="00000A"/>
              <w:bottom w:val="double" w:sz="4" w:space="0" w:color="00000A"/>
              <w:right w:val="double" w:sz="4" w:space="0" w:color="00000A"/>
            </w:tcBorders>
            <w:shd w:val="clear" w:color="auto" w:fill="auto"/>
            <w:tcMar>
              <w:left w:w="69" w:type="dxa"/>
            </w:tcMar>
          </w:tcPr>
          <w:p w:rsidR="00CA7085" w:rsidRDefault="00C402B7">
            <w:pPr>
              <w:rPr>
                <w:rFonts w:ascii="Century Gothic" w:hAnsi="Century Gothic"/>
                <w:b/>
                <w:sz w:val="20"/>
              </w:rPr>
            </w:pPr>
            <w:r>
              <w:rPr>
                <w:rFonts w:ascii="Century Gothic" w:hAnsi="Century Gothic"/>
                <w:b/>
                <w:sz w:val="20"/>
              </w:rPr>
              <w:t xml:space="preserve">FINALIZO: </w:t>
            </w:r>
            <w:r>
              <w:rPr>
                <w:rFonts w:ascii="Century Gothic" w:hAnsi="Century Gothic"/>
                <w:sz w:val="20"/>
              </w:rPr>
              <w:t>12:00M</w:t>
            </w:r>
          </w:p>
        </w:tc>
      </w:tr>
    </w:tbl>
    <w:p w:rsidR="00CA7085" w:rsidRDefault="00CA7085">
      <w:pPr>
        <w:jc w:val="both"/>
        <w:rPr>
          <w:rFonts w:ascii="Century Gothic" w:hAnsi="Century Gothic"/>
          <w:sz w:val="20"/>
        </w:rPr>
      </w:pPr>
    </w:p>
    <w:tbl>
      <w:tblPr>
        <w:tblW w:w="10349" w:type="dxa"/>
        <w:tblInd w:w="-357" w:type="dxa"/>
        <w:tblBorders>
          <w:top w:val="double" w:sz="4" w:space="0" w:color="00000A"/>
          <w:left w:val="double" w:sz="4" w:space="0" w:color="00000A"/>
          <w:bottom w:val="double" w:sz="4" w:space="0" w:color="00000A"/>
          <w:right w:val="double" w:sz="4" w:space="0" w:color="00000A"/>
          <w:insideH w:val="double" w:sz="4" w:space="0" w:color="00000A"/>
          <w:insideV w:val="double" w:sz="4" w:space="0" w:color="00000A"/>
        </w:tblBorders>
        <w:tblCellMar>
          <w:left w:w="69" w:type="dxa"/>
          <w:right w:w="70" w:type="dxa"/>
        </w:tblCellMar>
        <w:tblLook w:val="0000" w:firstRow="0" w:lastRow="0" w:firstColumn="0" w:lastColumn="0" w:noHBand="0" w:noVBand="0"/>
      </w:tblPr>
      <w:tblGrid>
        <w:gridCol w:w="3449"/>
        <w:gridCol w:w="3450"/>
        <w:gridCol w:w="3450"/>
      </w:tblGrid>
      <w:tr w:rsidR="00CA7085">
        <w:trPr>
          <w:trHeight w:val="382"/>
        </w:trPr>
        <w:tc>
          <w:tcPr>
            <w:tcW w:w="10349" w:type="dxa"/>
            <w:gridSpan w:val="3"/>
            <w:tcBorders>
              <w:top w:val="double" w:sz="4" w:space="0" w:color="00000A"/>
              <w:left w:val="double" w:sz="4" w:space="0" w:color="00000A"/>
              <w:bottom w:val="double" w:sz="4" w:space="0" w:color="00000A"/>
              <w:right w:val="double" w:sz="4" w:space="0" w:color="00000A"/>
            </w:tcBorders>
            <w:shd w:val="clear" w:color="auto" w:fill="auto"/>
            <w:tcMar>
              <w:left w:w="69" w:type="dxa"/>
            </w:tcMar>
            <w:vAlign w:val="center"/>
          </w:tcPr>
          <w:p w:rsidR="00CA7085" w:rsidRDefault="00C402B7">
            <w:pPr>
              <w:rPr>
                <w:rFonts w:ascii="Century Gothic" w:hAnsi="Century Gothic" w:cs="Arial"/>
                <w:sz w:val="20"/>
              </w:rPr>
            </w:pPr>
            <w:r>
              <w:rPr>
                <w:rFonts w:ascii="Century Gothic" w:hAnsi="Century Gothic"/>
                <w:b/>
                <w:sz w:val="20"/>
              </w:rPr>
              <w:t>ASISTENTES</w:t>
            </w:r>
          </w:p>
        </w:tc>
      </w:tr>
      <w:tr w:rsidR="00CA7085">
        <w:trPr>
          <w:trHeight w:val="357"/>
        </w:trPr>
        <w:tc>
          <w:tcPr>
            <w:tcW w:w="3449" w:type="dxa"/>
            <w:tcBorders>
              <w:top w:val="double" w:sz="4" w:space="0" w:color="00000A"/>
              <w:left w:val="double" w:sz="4" w:space="0" w:color="00000A"/>
              <w:bottom w:val="double" w:sz="4" w:space="0" w:color="00000A"/>
              <w:right w:val="double" w:sz="4" w:space="0" w:color="00000A"/>
            </w:tcBorders>
            <w:shd w:val="clear" w:color="auto" w:fill="auto"/>
            <w:tcMar>
              <w:left w:w="69" w:type="dxa"/>
            </w:tcMar>
          </w:tcPr>
          <w:p w:rsidR="00CA7085" w:rsidRDefault="00C402B7">
            <w:pPr>
              <w:jc w:val="center"/>
              <w:rPr>
                <w:rFonts w:ascii="Century Gothic" w:hAnsi="Century Gothic"/>
                <w:b/>
                <w:sz w:val="20"/>
              </w:rPr>
            </w:pPr>
            <w:r>
              <w:rPr>
                <w:rFonts w:ascii="Century Gothic" w:hAnsi="Century Gothic"/>
                <w:b/>
                <w:sz w:val="20"/>
              </w:rPr>
              <w:t>NOMBRE</w:t>
            </w:r>
          </w:p>
        </w:tc>
        <w:tc>
          <w:tcPr>
            <w:tcW w:w="3450" w:type="dxa"/>
            <w:tcBorders>
              <w:top w:val="double" w:sz="4" w:space="0" w:color="00000A"/>
              <w:left w:val="double" w:sz="4" w:space="0" w:color="00000A"/>
              <w:bottom w:val="double" w:sz="4" w:space="0" w:color="00000A"/>
              <w:right w:val="double" w:sz="4" w:space="0" w:color="00000A"/>
            </w:tcBorders>
            <w:shd w:val="clear" w:color="auto" w:fill="auto"/>
            <w:tcMar>
              <w:left w:w="69" w:type="dxa"/>
            </w:tcMar>
          </w:tcPr>
          <w:p w:rsidR="00CA7085" w:rsidRDefault="00C402B7">
            <w:pPr>
              <w:jc w:val="center"/>
              <w:rPr>
                <w:rFonts w:ascii="Century Gothic" w:hAnsi="Century Gothic"/>
                <w:b/>
                <w:sz w:val="20"/>
              </w:rPr>
            </w:pPr>
            <w:r>
              <w:rPr>
                <w:rFonts w:ascii="Century Gothic" w:hAnsi="Century Gothic"/>
                <w:b/>
                <w:sz w:val="20"/>
              </w:rPr>
              <w:t>CARGO</w:t>
            </w:r>
          </w:p>
        </w:tc>
        <w:tc>
          <w:tcPr>
            <w:tcW w:w="3450" w:type="dxa"/>
            <w:tcBorders>
              <w:top w:val="double" w:sz="4" w:space="0" w:color="00000A"/>
              <w:left w:val="double" w:sz="4" w:space="0" w:color="00000A"/>
              <w:bottom w:val="double" w:sz="4" w:space="0" w:color="00000A"/>
              <w:right w:val="double" w:sz="4" w:space="0" w:color="00000A"/>
            </w:tcBorders>
            <w:shd w:val="clear" w:color="auto" w:fill="auto"/>
            <w:tcMar>
              <w:left w:w="69" w:type="dxa"/>
            </w:tcMar>
          </w:tcPr>
          <w:p w:rsidR="00CA7085" w:rsidRDefault="00C402B7">
            <w:pPr>
              <w:jc w:val="center"/>
              <w:rPr>
                <w:rFonts w:ascii="Century Gothic" w:hAnsi="Century Gothic"/>
                <w:b/>
                <w:sz w:val="20"/>
              </w:rPr>
            </w:pPr>
            <w:r>
              <w:rPr>
                <w:rFonts w:ascii="Century Gothic" w:hAnsi="Century Gothic"/>
                <w:b/>
                <w:sz w:val="20"/>
              </w:rPr>
              <w:t>ENTIDAD</w:t>
            </w:r>
          </w:p>
        </w:tc>
      </w:tr>
      <w:tr w:rsidR="00AD03AF">
        <w:trPr>
          <w:trHeight w:val="355"/>
        </w:trPr>
        <w:tc>
          <w:tcPr>
            <w:tcW w:w="3449" w:type="dxa"/>
            <w:tcBorders>
              <w:top w:val="double" w:sz="4" w:space="0" w:color="00000A"/>
              <w:left w:val="double" w:sz="4" w:space="0" w:color="00000A"/>
              <w:bottom w:val="single" w:sz="4" w:space="0" w:color="00000A"/>
              <w:right w:val="single" w:sz="4" w:space="0" w:color="00000A"/>
            </w:tcBorders>
            <w:shd w:val="clear" w:color="auto" w:fill="auto"/>
            <w:tcMar>
              <w:left w:w="69" w:type="dxa"/>
            </w:tcMar>
          </w:tcPr>
          <w:p w:rsidR="00AD03AF" w:rsidRDefault="00AD03AF" w:rsidP="0077130A">
            <w:pPr>
              <w:rPr>
                <w:rFonts w:ascii="Arial" w:hAnsi="Arial" w:cs="Arial"/>
                <w:sz w:val="20"/>
              </w:rPr>
            </w:pPr>
            <w:r>
              <w:rPr>
                <w:rFonts w:ascii="Arial" w:hAnsi="Arial" w:cs="Arial"/>
                <w:sz w:val="20"/>
              </w:rPr>
              <w:t>ANGIE SANABRIA</w:t>
            </w:r>
          </w:p>
        </w:tc>
        <w:tc>
          <w:tcPr>
            <w:tcW w:w="3450" w:type="dxa"/>
            <w:tcBorders>
              <w:top w:val="double" w:sz="4" w:space="0" w:color="00000A"/>
              <w:left w:val="single" w:sz="4" w:space="0" w:color="00000A"/>
              <w:bottom w:val="single" w:sz="4" w:space="0" w:color="00000A"/>
              <w:right w:val="single" w:sz="4" w:space="0" w:color="00000A"/>
            </w:tcBorders>
            <w:shd w:val="clear" w:color="auto" w:fill="auto"/>
            <w:tcMar>
              <w:left w:w="79" w:type="dxa"/>
            </w:tcMar>
          </w:tcPr>
          <w:p w:rsidR="00AD03AF" w:rsidRDefault="00AD03AF" w:rsidP="0077130A">
            <w:pPr>
              <w:rPr>
                <w:rFonts w:ascii="Arial" w:hAnsi="Arial" w:cs="Arial"/>
                <w:sz w:val="20"/>
              </w:rPr>
            </w:pPr>
            <w:r>
              <w:rPr>
                <w:rFonts w:ascii="Arial" w:hAnsi="Arial" w:cs="Arial"/>
                <w:sz w:val="20"/>
              </w:rPr>
              <w:t>EPIDEMIOLOGA SISVESO</w:t>
            </w:r>
          </w:p>
        </w:tc>
        <w:tc>
          <w:tcPr>
            <w:tcW w:w="3450" w:type="dxa"/>
            <w:tcBorders>
              <w:top w:val="double" w:sz="4" w:space="0" w:color="00000A"/>
              <w:left w:val="single" w:sz="4" w:space="0" w:color="00000A"/>
              <w:bottom w:val="single" w:sz="4" w:space="0" w:color="00000A"/>
              <w:right w:val="double" w:sz="4" w:space="0" w:color="00000A"/>
            </w:tcBorders>
            <w:shd w:val="clear" w:color="auto" w:fill="auto"/>
            <w:tcMar>
              <w:left w:w="79" w:type="dxa"/>
            </w:tcMar>
          </w:tcPr>
          <w:p w:rsidR="00AD03AF" w:rsidRDefault="00AD03AF" w:rsidP="0077130A">
            <w:pPr>
              <w:rPr>
                <w:rFonts w:ascii="Arial" w:hAnsi="Arial" w:cs="Arial"/>
                <w:sz w:val="20"/>
              </w:rPr>
            </w:pPr>
            <w:r>
              <w:rPr>
                <w:rFonts w:ascii="Arial" w:hAnsi="Arial" w:cs="Arial"/>
                <w:sz w:val="20"/>
              </w:rPr>
              <w:t>SUBRED NORTE</w:t>
            </w:r>
          </w:p>
        </w:tc>
      </w:tr>
      <w:tr w:rsidR="00AD03AF">
        <w:trPr>
          <w:trHeight w:val="355"/>
        </w:trPr>
        <w:tc>
          <w:tcPr>
            <w:tcW w:w="3449" w:type="dxa"/>
            <w:tcBorders>
              <w:top w:val="single" w:sz="4" w:space="0" w:color="00000A"/>
              <w:left w:val="double" w:sz="4" w:space="0" w:color="00000A"/>
              <w:bottom w:val="single" w:sz="4" w:space="0" w:color="00000A"/>
              <w:right w:val="single" w:sz="4" w:space="0" w:color="00000A"/>
            </w:tcBorders>
            <w:shd w:val="clear" w:color="auto" w:fill="auto"/>
            <w:tcMar>
              <w:left w:w="69" w:type="dxa"/>
            </w:tcMar>
          </w:tcPr>
          <w:p w:rsidR="00AD03AF" w:rsidRDefault="00AD03AF" w:rsidP="0077130A">
            <w:r>
              <w:rPr>
                <w:rFonts w:ascii="Arial" w:hAnsi="Arial" w:cs="Arial"/>
                <w:sz w:val="20"/>
              </w:rPr>
              <w:t>YAZMIN RODRIGUEZ</w:t>
            </w:r>
          </w:p>
        </w:tc>
        <w:tc>
          <w:tcPr>
            <w:tcW w:w="3450" w:type="dxa"/>
            <w:tcBorders>
              <w:top w:val="single" w:sz="4" w:space="0" w:color="00000A"/>
              <w:left w:val="single" w:sz="4" w:space="0" w:color="00000A"/>
              <w:bottom w:val="single" w:sz="4" w:space="0" w:color="00000A"/>
              <w:right w:val="single" w:sz="4" w:space="0" w:color="00000A"/>
            </w:tcBorders>
            <w:shd w:val="clear" w:color="auto" w:fill="auto"/>
            <w:tcMar>
              <w:left w:w="79" w:type="dxa"/>
            </w:tcMar>
          </w:tcPr>
          <w:p w:rsidR="00AD03AF" w:rsidRDefault="00AD03AF" w:rsidP="0077130A">
            <w:r>
              <w:rPr>
                <w:rFonts w:ascii="Arial" w:hAnsi="Arial" w:cs="Arial"/>
                <w:sz w:val="20"/>
              </w:rPr>
              <w:t>PROFESIONAL ESPECIALIZADO</w:t>
            </w:r>
          </w:p>
        </w:tc>
        <w:tc>
          <w:tcPr>
            <w:tcW w:w="3450" w:type="dxa"/>
            <w:tcBorders>
              <w:top w:val="single" w:sz="4" w:space="0" w:color="00000A"/>
              <w:left w:val="single" w:sz="4" w:space="0" w:color="00000A"/>
              <w:bottom w:val="single" w:sz="4" w:space="0" w:color="00000A"/>
              <w:right w:val="double" w:sz="4" w:space="0" w:color="00000A"/>
            </w:tcBorders>
            <w:shd w:val="clear" w:color="auto" w:fill="auto"/>
            <w:tcMar>
              <w:left w:w="79" w:type="dxa"/>
            </w:tcMar>
          </w:tcPr>
          <w:p w:rsidR="00AD03AF" w:rsidRDefault="00AD03AF" w:rsidP="0077130A">
            <w:r>
              <w:rPr>
                <w:rFonts w:ascii="Arial" w:hAnsi="Arial" w:cs="Arial"/>
                <w:sz w:val="20"/>
              </w:rPr>
              <w:t>SUBRED NORTE</w:t>
            </w:r>
          </w:p>
        </w:tc>
      </w:tr>
      <w:tr w:rsidR="00AD03AF">
        <w:trPr>
          <w:trHeight w:val="355"/>
        </w:trPr>
        <w:tc>
          <w:tcPr>
            <w:tcW w:w="3449" w:type="dxa"/>
            <w:tcBorders>
              <w:top w:val="single" w:sz="4" w:space="0" w:color="00000A"/>
              <w:left w:val="double" w:sz="4" w:space="0" w:color="00000A"/>
              <w:bottom w:val="single" w:sz="4" w:space="0" w:color="00000A"/>
              <w:right w:val="single" w:sz="4" w:space="0" w:color="00000A"/>
            </w:tcBorders>
            <w:shd w:val="clear" w:color="auto" w:fill="auto"/>
            <w:tcMar>
              <w:left w:w="69" w:type="dxa"/>
            </w:tcMar>
          </w:tcPr>
          <w:p w:rsidR="00AD03AF" w:rsidRPr="00D305D9" w:rsidRDefault="00AD03AF" w:rsidP="0077130A">
            <w:pPr>
              <w:rPr>
                <w:rFonts w:ascii="Arial" w:hAnsi="Arial" w:cs="Arial"/>
                <w:sz w:val="20"/>
              </w:rPr>
            </w:pPr>
            <w:r w:rsidRPr="00D305D9">
              <w:rPr>
                <w:rFonts w:ascii="Arial" w:hAnsi="Arial" w:cs="Arial"/>
                <w:sz w:val="20"/>
              </w:rPr>
              <w:t>HEIDY HERNANDEZ</w:t>
            </w:r>
          </w:p>
        </w:tc>
        <w:tc>
          <w:tcPr>
            <w:tcW w:w="3450" w:type="dxa"/>
            <w:tcBorders>
              <w:top w:val="single" w:sz="4" w:space="0" w:color="00000A"/>
              <w:left w:val="single" w:sz="4" w:space="0" w:color="00000A"/>
              <w:bottom w:val="single" w:sz="4" w:space="0" w:color="00000A"/>
              <w:right w:val="single" w:sz="4" w:space="0" w:color="00000A"/>
            </w:tcBorders>
            <w:shd w:val="clear" w:color="auto" w:fill="auto"/>
            <w:tcMar>
              <w:left w:w="79" w:type="dxa"/>
            </w:tcMar>
          </w:tcPr>
          <w:p w:rsidR="00AD03AF" w:rsidRPr="00D305D9" w:rsidRDefault="00AD03AF" w:rsidP="0077130A">
            <w:pPr>
              <w:rPr>
                <w:rFonts w:ascii="Arial" w:hAnsi="Arial" w:cs="Arial"/>
                <w:sz w:val="20"/>
              </w:rPr>
            </w:pPr>
            <w:r>
              <w:rPr>
                <w:rFonts w:ascii="Arial" w:hAnsi="Arial" w:cs="Arial"/>
                <w:sz w:val="20"/>
              </w:rPr>
              <w:t>EPIDEMIOLOGA</w:t>
            </w:r>
          </w:p>
        </w:tc>
        <w:tc>
          <w:tcPr>
            <w:tcW w:w="3450" w:type="dxa"/>
            <w:tcBorders>
              <w:top w:val="single" w:sz="4" w:space="0" w:color="00000A"/>
              <w:left w:val="single" w:sz="4" w:space="0" w:color="00000A"/>
              <w:bottom w:val="single" w:sz="4" w:space="0" w:color="00000A"/>
              <w:right w:val="double" w:sz="4" w:space="0" w:color="00000A"/>
            </w:tcBorders>
            <w:shd w:val="clear" w:color="auto" w:fill="auto"/>
            <w:tcMar>
              <w:left w:w="79" w:type="dxa"/>
            </w:tcMar>
          </w:tcPr>
          <w:p w:rsidR="00AD03AF" w:rsidRPr="00D305D9" w:rsidRDefault="00AD03AF" w:rsidP="0077130A">
            <w:pPr>
              <w:rPr>
                <w:rFonts w:ascii="Arial" w:hAnsi="Arial" w:cs="Arial"/>
                <w:sz w:val="20"/>
              </w:rPr>
            </w:pPr>
            <w:r>
              <w:rPr>
                <w:rFonts w:ascii="Arial" w:hAnsi="Arial" w:cs="Arial"/>
                <w:sz w:val="20"/>
              </w:rPr>
              <w:t>SUBRED NORTE</w:t>
            </w:r>
          </w:p>
        </w:tc>
      </w:tr>
      <w:tr w:rsidR="00AD03AF">
        <w:trPr>
          <w:trHeight w:val="355"/>
        </w:trPr>
        <w:tc>
          <w:tcPr>
            <w:tcW w:w="3449" w:type="dxa"/>
            <w:tcBorders>
              <w:top w:val="single" w:sz="4" w:space="0" w:color="00000A"/>
              <w:left w:val="double" w:sz="4" w:space="0" w:color="00000A"/>
              <w:bottom w:val="single" w:sz="4" w:space="0" w:color="00000A"/>
              <w:right w:val="single" w:sz="4" w:space="0" w:color="00000A"/>
            </w:tcBorders>
            <w:shd w:val="clear" w:color="auto" w:fill="auto"/>
            <w:tcMar>
              <w:left w:w="69" w:type="dxa"/>
            </w:tcMar>
          </w:tcPr>
          <w:p w:rsidR="00AD03AF" w:rsidRDefault="00AD03AF" w:rsidP="0077130A">
            <w:pPr>
              <w:rPr>
                <w:rFonts w:ascii="Arial" w:hAnsi="Arial" w:cs="Arial"/>
                <w:sz w:val="20"/>
              </w:rPr>
            </w:pPr>
            <w:r w:rsidRPr="007F3EF6">
              <w:rPr>
                <w:rFonts w:ascii="Arial" w:hAnsi="Arial" w:cs="Arial"/>
                <w:sz w:val="20"/>
              </w:rPr>
              <w:t>Se anexa listado de asistencia</w:t>
            </w:r>
          </w:p>
        </w:tc>
        <w:tc>
          <w:tcPr>
            <w:tcW w:w="3450" w:type="dxa"/>
            <w:tcBorders>
              <w:top w:val="single" w:sz="4" w:space="0" w:color="00000A"/>
              <w:left w:val="single" w:sz="4" w:space="0" w:color="00000A"/>
              <w:bottom w:val="single" w:sz="4" w:space="0" w:color="00000A"/>
              <w:right w:val="single" w:sz="4" w:space="0" w:color="00000A"/>
            </w:tcBorders>
            <w:shd w:val="clear" w:color="auto" w:fill="auto"/>
            <w:tcMar>
              <w:left w:w="79" w:type="dxa"/>
            </w:tcMar>
          </w:tcPr>
          <w:p w:rsidR="00AD03AF" w:rsidRDefault="00AD03AF" w:rsidP="0077130A">
            <w:pPr>
              <w:rPr>
                <w:rFonts w:ascii="Arial" w:hAnsi="Arial" w:cs="Arial"/>
                <w:sz w:val="20"/>
              </w:rPr>
            </w:pPr>
          </w:p>
        </w:tc>
        <w:tc>
          <w:tcPr>
            <w:tcW w:w="3450" w:type="dxa"/>
            <w:tcBorders>
              <w:top w:val="single" w:sz="4" w:space="0" w:color="00000A"/>
              <w:left w:val="single" w:sz="4" w:space="0" w:color="00000A"/>
              <w:bottom w:val="single" w:sz="4" w:space="0" w:color="00000A"/>
              <w:right w:val="double" w:sz="4" w:space="0" w:color="00000A"/>
            </w:tcBorders>
            <w:shd w:val="clear" w:color="auto" w:fill="auto"/>
            <w:tcMar>
              <w:left w:w="79" w:type="dxa"/>
            </w:tcMar>
          </w:tcPr>
          <w:p w:rsidR="00AD03AF" w:rsidRDefault="00AD03AF" w:rsidP="0077130A">
            <w:pPr>
              <w:rPr>
                <w:rFonts w:ascii="Arial" w:hAnsi="Arial" w:cs="Arial"/>
                <w:sz w:val="20"/>
              </w:rPr>
            </w:pPr>
          </w:p>
        </w:tc>
      </w:tr>
      <w:tr w:rsidR="0010013C">
        <w:trPr>
          <w:trHeight w:val="355"/>
        </w:trPr>
        <w:tc>
          <w:tcPr>
            <w:tcW w:w="3449" w:type="dxa"/>
            <w:tcBorders>
              <w:top w:val="single" w:sz="4" w:space="0" w:color="00000A"/>
              <w:left w:val="double" w:sz="4" w:space="0" w:color="00000A"/>
              <w:bottom w:val="single" w:sz="4" w:space="0" w:color="00000A"/>
              <w:right w:val="single" w:sz="4" w:space="0" w:color="00000A"/>
            </w:tcBorders>
            <w:shd w:val="clear" w:color="auto" w:fill="auto"/>
            <w:tcMar>
              <w:left w:w="69" w:type="dxa"/>
            </w:tcMar>
          </w:tcPr>
          <w:p w:rsidR="0010013C" w:rsidRPr="007F3EF6" w:rsidRDefault="0010013C" w:rsidP="0010013C">
            <w:pPr>
              <w:rPr>
                <w:rFonts w:ascii="Arial" w:hAnsi="Arial" w:cs="Arial"/>
                <w:sz w:val="20"/>
              </w:rPr>
            </w:pPr>
          </w:p>
        </w:tc>
        <w:tc>
          <w:tcPr>
            <w:tcW w:w="3450" w:type="dxa"/>
            <w:tcBorders>
              <w:top w:val="single" w:sz="4" w:space="0" w:color="00000A"/>
              <w:left w:val="single" w:sz="4" w:space="0" w:color="00000A"/>
              <w:bottom w:val="single" w:sz="4" w:space="0" w:color="00000A"/>
              <w:right w:val="single" w:sz="4" w:space="0" w:color="00000A"/>
            </w:tcBorders>
            <w:shd w:val="clear" w:color="auto" w:fill="auto"/>
            <w:tcMar>
              <w:left w:w="79" w:type="dxa"/>
            </w:tcMar>
          </w:tcPr>
          <w:p w:rsidR="0010013C" w:rsidRPr="007F3EF6" w:rsidRDefault="0010013C" w:rsidP="0010013C">
            <w:pPr>
              <w:rPr>
                <w:rFonts w:ascii="Arial" w:hAnsi="Arial" w:cs="Arial"/>
                <w:sz w:val="20"/>
              </w:rPr>
            </w:pPr>
          </w:p>
        </w:tc>
        <w:tc>
          <w:tcPr>
            <w:tcW w:w="3450" w:type="dxa"/>
            <w:tcBorders>
              <w:top w:val="single" w:sz="4" w:space="0" w:color="00000A"/>
              <w:left w:val="single" w:sz="4" w:space="0" w:color="00000A"/>
              <w:bottom w:val="single" w:sz="4" w:space="0" w:color="00000A"/>
              <w:right w:val="double" w:sz="4" w:space="0" w:color="00000A"/>
            </w:tcBorders>
            <w:shd w:val="clear" w:color="auto" w:fill="auto"/>
            <w:tcMar>
              <w:left w:w="79" w:type="dxa"/>
            </w:tcMar>
          </w:tcPr>
          <w:p w:rsidR="0010013C" w:rsidRPr="007F3EF6" w:rsidRDefault="0010013C" w:rsidP="0010013C">
            <w:pPr>
              <w:rPr>
                <w:rFonts w:ascii="Arial" w:hAnsi="Arial" w:cs="Arial"/>
                <w:sz w:val="20"/>
              </w:rPr>
            </w:pPr>
            <w:bookmarkStart w:id="0" w:name="__DdeLink__1556_1253553969"/>
            <w:bookmarkEnd w:id="0"/>
          </w:p>
        </w:tc>
      </w:tr>
      <w:tr w:rsidR="0010013C">
        <w:trPr>
          <w:trHeight w:val="355"/>
        </w:trPr>
        <w:tc>
          <w:tcPr>
            <w:tcW w:w="3449" w:type="dxa"/>
            <w:tcBorders>
              <w:top w:val="single" w:sz="4" w:space="0" w:color="00000A"/>
              <w:left w:val="double" w:sz="4" w:space="0" w:color="00000A"/>
              <w:bottom w:val="single" w:sz="4" w:space="0" w:color="00000A"/>
              <w:right w:val="single" w:sz="4" w:space="0" w:color="00000A"/>
            </w:tcBorders>
            <w:shd w:val="clear" w:color="auto" w:fill="auto"/>
            <w:tcMar>
              <w:left w:w="69" w:type="dxa"/>
            </w:tcMar>
          </w:tcPr>
          <w:p w:rsidR="0010013C" w:rsidRPr="007F3EF6" w:rsidRDefault="0010013C" w:rsidP="0010013C">
            <w:pPr>
              <w:rPr>
                <w:rFonts w:ascii="Arial" w:hAnsi="Arial" w:cs="Arial"/>
                <w:sz w:val="20"/>
              </w:rPr>
            </w:pPr>
          </w:p>
        </w:tc>
        <w:tc>
          <w:tcPr>
            <w:tcW w:w="3450" w:type="dxa"/>
            <w:tcBorders>
              <w:top w:val="single" w:sz="4" w:space="0" w:color="00000A"/>
              <w:left w:val="single" w:sz="4" w:space="0" w:color="00000A"/>
              <w:bottom w:val="single" w:sz="4" w:space="0" w:color="00000A"/>
              <w:right w:val="single" w:sz="4" w:space="0" w:color="00000A"/>
            </w:tcBorders>
            <w:shd w:val="clear" w:color="auto" w:fill="auto"/>
            <w:tcMar>
              <w:left w:w="79" w:type="dxa"/>
            </w:tcMar>
          </w:tcPr>
          <w:p w:rsidR="0010013C" w:rsidRPr="007F3EF6" w:rsidRDefault="0010013C" w:rsidP="0010013C">
            <w:pPr>
              <w:rPr>
                <w:rFonts w:ascii="Arial" w:hAnsi="Arial" w:cs="Arial"/>
                <w:sz w:val="20"/>
              </w:rPr>
            </w:pPr>
          </w:p>
        </w:tc>
        <w:tc>
          <w:tcPr>
            <w:tcW w:w="3450" w:type="dxa"/>
            <w:tcBorders>
              <w:top w:val="single" w:sz="4" w:space="0" w:color="00000A"/>
              <w:left w:val="single" w:sz="4" w:space="0" w:color="00000A"/>
              <w:bottom w:val="single" w:sz="4" w:space="0" w:color="00000A"/>
              <w:right w:val="double" w:sz="4" w:space="0" w:color="00000A"/>
            </w:tcBorders>
            <w:shd w:val="clear" w:color="auto" w:fill="auto"/>
            <w:tcMar>
              <w:left w:w="79" w:type="dxa"/>
            </w:tcMar>
          </w:tcPr>
          <w:p w:rsidR="0010013C" w:rsidRPr="007F3EF6" w:rsidRDefault="0010013C" w:rsidP="0010013C">
            <w:pPr>
              <w:rPr>
                <w:rFonts w:ascii="Arial" w:hAnsi="Arial" w:cs="Arial"/>
                <w:sz w:val="20"/>
              </w:rPr>
            </w:pPr>
          </w:p>
        </w:tc>
      </w:tr>
      <w:tr w:rsidR="0010013C">
        <w:trPr>
          <w:trHeight w:val="355"/>
        </w:trPr>
        <w:tc>
          <w:tcPr>
            <w:tcW w:w="3449" w:type="dxa"/>
            <w:tcBorders>
              <w:top w:val="single" w:sz="4" w:space="0" w:color="00000A"/>
              <w:left w:val="double" w:sz="4" w:space="0" w:color="00000A"/>
              <w:bottom w:val="double" w:sz="4" w:space="0" w:color="00000A"/>
              <w:right w:val="single" w:sz="4" w:space="0" w:color="00000A"/>
            </w:tcBorders>
            <w:shd w:val="clear" w:color="auto" w:fill="auto"/>
            <w:tcMar>
              <w:left w:w="69" w:type="dxa"/>
            </w:tcMar>
          </w:tcPr>
          <w:p w:rsidR="0010013C" w:rsidRPr="007F3EF6" w:rsidRDefault="0010013C" w:rsidP="0010013C">
            <w:pPr>
              <w:rPr>
                <w:rFonts w:ascii="Arial" w:hAnsi="Arial" w:cs="Arial"/>
                <w:sz w:val="20"/>
              </w:rPr>
            </w:pPr>
          </w:p>
        </w:tc>
        <w:tc>
          <w:tcPr>
            <w:tcW w:w="3450" w:type="dxa"/>
            <w:tcBorders>
              <w:top w:val="single" w:sz="4" w:space="0" w:color="00000A"/>
              <w:left w:val="single" w:sz="4" w:space="0" w:color="00000A"/>
              <w:bottom w:val="double" w:sz="4" w:space="0" w:color="00000A"/>
              <w:right w:val="single" w:sz="4" w:space="0" w:color="00000A"/>
            </w:tcBorders>
            <w:shd w:val="clear" w:color="auto" w:fill="auto"/>
            <w:tcMar>
              <w:left w:w="79" w:type="dxa"/>
            </w:tcMar>
          </w:tcPr>
          <w:p w:rsidR="0010013C" w:rsidRPr="007F3EF6" w:rsidRDefault="0010013C" w:rsidP="0010013C">
            <w:pPr>
              <w:rPr>
                <w:rFonts w:ascii="Arial" w:hAnsi="Arial" w:cs="Arial"/>
                <w:sz w:val="20"/>
              </w:rPr>
            </w:pPr>
          </w:p>
        </w:tc>
        <w:tc>
          <w:tcPr>
            <w:tcW w:w="3450" w:type="dxa"/>
            <w:tcBorders>
              <w:top w:val="single" w:sz="4" w:space="0" w:color="00000A"/>
              <w:left w:val="single" w:sz="4" w:space="0" w:color="00000A"/>
              <w:bottom w:val="double" w:sz="4" w:space="0" w:color="00000A"/>
              <w:right w:val="double" w:sz="4" w:space="0" w:color="00000A"/>
            </w:tcBorders>
            <w:shd w:val="clear" w:color="auto" w:fill="auto"/>
            <w:tcMar>
              <w:left w:w="79" w:type="dxa"/>
            </w:tcMar>
          </w:tcPr>
          <w:p w:rsidR="0010013C" w:rsidRPr="007F3EF6" w:rsidRDefault="0010013C" w:rsidP="0010013C">
            <w:pPr>
              <w:rPr>
                <w:rFonts w:ascii="Arial" w:hAnsi="Arial" w:cs="Arial"/>
                <w:sz w:val="20"/>
              </w:rPr>
            </w:pPr>
          </w:p>
        </w:tc>
      </w:tr>
    </w:tbl>
    <w:p w:rsidR="00CA7085" w:rsidRDefault="00CA7085">
      <w:pPr>
        <w:jc w:val="both"/>
        <w:rPr>
          <w:rFonts w:ascii="Century Gothic" w:hAnsi="Century Gothic"/>
          <w:sz w:val="20"/>
        </w:rPr>
      </w:pPr>
    </w:p>
    <w:tbl>
      <w:tblPr>
        <w:tblW w:w="10349" w:type="dxa"/>
        <w:tblInd w:w="-357" w:type="dxa"/>
        <w:tblBorders>
          <w:top w:val="double" w:sz="4" w:space="0" w:color="00000A"/>
          <w:left w:val="double" w:sz="4" w:space="0" w:color="00000A"/>
          <w:bottom w:val="double" w:sz="4" w:space="0" w:color="00000A"/>
          <w:right w:val="double" w:sz="4" w:space="0" w:color="00000A"/>
          <w:insideH w:val="double" w:sz="4" w:space="0" w:color="00000A"/>
          <w:insideV w:val="double" w:sz="4" w:space="0" w:color="00000A"/>
        </w:tblBorders>
        <w:tblCellMar>
          <w:left w:w="69" w:type="dxa"/>
          <w:right w:w="70" w:type="dxa"/>
        </w:tblCellMar>
        <w:tblLook w:val="0000" w:firstRow="0" w:lastRow="0" w:firstColumn="0" w:lastColumn="0" w:noHBand="0" w:noVBand="0"/>
      </w:tblPr>
      <w:tblGrid>
        <w:gridCol w:w="10349"/>
      </w:tblGrid>
      <w:tr w:rsidR="00CA7085">
        <w:trPr>
          <w:trHeight w:val="382"/>
        </w:trPr>
        <w:tc>
          <w:tcPr>
            <w:tcW w:w="10349" w:type="dxa"/>
            <w:tcBorders>
              <w:top w:val="double" w:sz="4" w:space="0" w:color="00000A"/>
              <w:left w:val="double" w:sz="4" w:space="0" w:color="00000A"/>
              <w:bottom w:val="double" w:sz="4" w:space="0" w:color="00000A"/>
              <w:right w:val="double" w:sz="4" w:space="0" w:color="00000A"/>
            </w:tcBorders>
            <w:shd w:val="clear" w:color="auto" w:fill="auto"/>
            <w:tcMar>
              <w:left w:w="69" w:type="dxa"/>
            </w:tcMar>
            <w:vAlign w:val="center"/>
          </w:tcPr>
          <w:p w:rsidR="00CA7085" w:rsidRDefault="00C402B7">
            <w:pPr>
              <w:rPr>
                <w:rFonts w:ascii="Century Gothic" w:hAnsi="Century Gothic" w:cs="Arial"/>
                <w:sz w:val="20"/>
              </w:rPr>
            </w:pPr>
            <w:r>
              <w:rPr>
                <w:rFonts w:ascii="Century Gothic" w:hAnsi="Century Gothic"/>
                <w:b/>
                <w:sz w:val="20"/>
              </w:rPr>
              <w:t>ORDEN DEL DÍA</w:t>
            </w:r>
          </w:p>
        </w:tc>
      </w:tr>
      <w:tr w:rsidR="00CA7085">
        <w:trPr>
          <w:trHeight w:val="558"/>
        </w:trPr>
        <w:tc>
          <w:tcPr>
            <w:tcW w:w="10349" w:type="dxa"/>
            <w:tcBorders>
              <w:top w:val="double" w:sz="4" w:space="0" w:color="00000A"/>
              <w:left w:val="double" w:sz="4" w:space="0" w:color="00000A"/>
              <w:bottom w:val="double" w:sz="4" w:space="0" w:color="00000A"/>
              <w:right w:val="double" w:sz="4" w:space="0" w:color="00000A"/>
            </w:tcBorders>
            <w:shd w:val="clear" w:color="auto" w:fill="auto"/>
            <w:tcMar>
              <w:left w:w="69" w:type="dxa"/>
            </w:tcMar>
          </w:tcPr>
          <w:p w:rsidR="00CA7085" w:rsidRPr="007F3EF6" w:rsidRDefault="00C402B7">
            <w:pPr>
              <w:pStyle w:val="Prrafodelista"/>
              <w:numPr>
                <w:ilvl w:val="0"/>
                <w:numId w:val="1"/>
              </w:numPr>
              <w:rPr>
                <w:rFonts w:ascii="Arial" w:hAnsi="Arial" w:cs="Arial"/>
                <w:sz w:val="20"/>
              </w:rPr>
            </w:pPr>
            <w:r w:rsidRPr="007F3EF6">
              <w:rPr>
                <w:rFonts w:ascii="Arial" w:hAnsi="Arial" w:cs="Arial"/>
                <w:sz w:val="20"/>
              </w:rPr>
              <w:t>Instalación Comité de Vigilancia Epidemiológica lectura acta anterior</w:t>
            </w:r>
          </w:p>
          <w:p w:rsidR="00CA7085" w:rsidRPr="007F3EF6" w:rsidRDefault="00C402B7">
            <w:pPr>
              <w:pStyle w:val="Prrafodelista"/>
              <w:numPr>
                <w:ilvl w:val="0"/>
                <w:numId w:val="1"/>
              </w:numPr>
              <w:rPr>
                <w:rFonts w:ascii="Arial" w:hAnsi="Arial" w:cs="Arial"/>
                <w:sz w:val="20"/>
              </w:rPr>
            </w:pPr>
            <w:r w:rsidRPr="007F3EF6">
              <w:rPr>
                <w:rFonts w:ascii="Arial" w:hAnsi="Arial" w:cs="Arial"/>
                <w:sz w:val="20"/>
              </w:rPr>
              <w:t>Introducción SIVISTRA</w:t>
            </w:r>
            <w:r w:rsidR="008A05D4" w:rsidRPr="007F3EF6">
              <w:rPr>
                <w:rFonts w:ascii="Arial" w:hAnsi="Arial" w:cs="Arial"/>
                <w:sz w:val="20"/>
              </w:rPr>
              <w:t xml:space="preserve"> </w:t>
            </w:r>
            <w:r w:rsidRPr="007F3EF6">
              <w:rPr>
                <w:rFonts w:ascii="Arial" w:hAnsi="Arial" w:cs="Arial"/>
                <w:sz w:val="20"/>
              </w:rPr>
              <w:t>(Subsistema de Vigilancia Epidemiológica para trabajadores del sector informal, Sustancias Químicas en el sector informal y sus afecciones a la salud.</w:t>
            </w:r>
          </w:p>
          <w:p w:rsidR="00710E0B" w:rsidRDefault="00710E0B">
            <w:pPr>
              <w:pStyle w:val="Prrafodelista"/>
              <w:numPr>
                <w:ilvl w:val="0"/>
                <w:numId w:val="1"/>
              </w:numPr>
              <w:rPr>
                <w:rFonts w:ascii="Arial" w:hAnsi="Arial" w:cs="Arial"/>
                <w:sz w:val="20"/>
              </w:rPr>
            </w:pPr>
            <w:r>
              <w:rPr>
                <w:rFonts w:ascii="Arial" w:hAnsi="Arial" w:cs="Arial"/>
                <w:sz w:val="20"/>
              </w:rPr>
              <w:t>Introducción e indicadores SISVESO</w:t>
            </w:r>
          </w:p>
          <w:p w:rsidR="00CA7085" w:rsidRPr="007F3EF6" w:rsidRDefault="00B62490">
            <w:pPr>
              <w:pStyle w:val="Prrafodelista"/>
              <w:numPr>
                <w:ilvl w:val="0"/>
                <w:numId w:val="1"/>
              </w:numPr>
              <w:rPr>
                <w:rFonts w:ascii="Arial" w:hAnsi="Arial" w:cs="Arial"/>
                <w:sz w:val="20"/>
              </w:rPr>
            </w:pPr>
            <w:r w:rsidRPr="007F3EF6">
              <w:rPr>
                <w:rFonts w:ascii="Arial" w:hAnsi="Arial" w:cs="Arial"/>
                <w:sz w:val="20"/>
              </w:rPr>
              <w:t>U</w:t>
            </w:r>
            <w:r w:rsidR="00C402B7" w:rsidRPr="007F3EF6">
              <w:rPr>
                <w:rFonts w:ascii="Arial" w:hAnsi="Arial" w:cs="Arial"/>
                <w:sz w:val="20"/>
              </w:rPr>
              <w:t>nidad de análisis SISVESO-SIVISTRA</w:t>
            </w:r>
          </w:p>
          <w:p w:rsidR="00CA7085" w:rsidRPr="007F3EF6" w:rsidRDefault="00C402B7">
            <w:pPr>
              <w:pStyle w:val="Prrafodelista"/>
              <w:numPr>
                <w:ilvl w:val="0"/>
                <w:numId w:val="1"/>
              </w:numPr>
              <w:rPr>
                <w:rFonts w:ascii="Arial" w:hAnsi="Arial" w:cs="Arial"/>
                <w:sz w:val="20"/>
              </w:rPr>
            </w:pPr>
            <w:r w:rsidRPr="007F3EF6">
              <w:rPr>
                <w:rFonts w:ascii="Arial" w:hAnsi="Arial" w:cs="Arial"/>
                <w:sz w:val="20"/>
              </w:rPr>
              <w:t>Alerta de Sarampión y rubeola.</w:t>
            </w:r>
          </w:p>
          <w:p w:rsidR="00CA7085" w:rsidRPr="007F3EF6" w:rsidRDefault="00C402B7">
            <w:pPr>
              <w:pStyle w:val="Prrafodelista"/>
              <w:numPr>
                <w:ilvl w:val="0"/>
                <w:numId w:val="1"/>
              </w:numPr>
              <w:rPr>
                <w:rFonts w:ascii="Arial" w:hAnsi="Arial" w:cs="Arial"/>
                <w:sz w:val="20"/>
              </w:rPr>
            </w:pPr>
            <w:r w:rsidRPr="007F3EF6">
              <w:rPr>
                <w:rFonts w:ascii="Arial" w:hAnsi="Arial" w:cs="Arial"/>
                <w:sz w:val="20"/>
              </w:rPr>
              <w:t xml:space="preserve">Socialización tableros de control SIVIGILA </w:t>
            </w:r>
          </w:p>
          <w:p w:rsidR="00CA7085" w:rsidRPr="007F3EF6" w:rsidRDefault="0067713E">
            <w:pPr>
              <w:pStyle w:val="Prrafodelista"/>
              <w:numPr>
                <w:ilvl w:val="0"/>
                <w:numId w:val="1"/>
              </w:numPr>
              <w:rPr>
                <w:rFonts w:ascii="Arial" w:hAnsi="Arial" w:cs="Arial"/>
                <w:sz w:val="20"/>
              </w:rPr>
            </w:pPr>
            <w:r>
              <w:rPr>
                <w:rFonts w:ascii="Arial" w:hAnsi="Arial" w:cs="Arial"/>
                <w:sz w:val="20"/>
              </w:rPr>
              <w:t xml:space="preserve"> urgencias y emergencias</w:t>
            </w:r>
          </w:p>
          <w:p w:rsidR="00CA7085" w:rsidRDefault="00CA7085">
            <w:pPr>
              <w:rPr>
                <w:rFonts w:ascii="Century Gothic" w:hAnsi="Century Gothic"/>
                <w:sz w:val="20"/>
              </w:rPr>
            </w:pPr>
          </w:p>
        </w:tc>
      </w:tr>
    </w:tbl>
    <w:p w:rsidR="00CA7085" w:rsidRDefault="00CA7085">
      <w:pPr>
        <w:jc w:val="both"/>
        <w:rPr>
          <w:rFonts w:ascii="Century Gothic" w:hAnsi="Century Gothic"/>
          <w:sz w:val="20"/>
        </w:rPr>
      </w:pPr>
    </w:p>
    <w:tbl>
      <w:tblPr>
        <w:tblW w:w="10321" w:type="dxa"/>
        <w:tblInd w:w="-329" w:type="dxa"/>
        <w:tblBorders>
          <w:top w:val="double" w:sz="4" w:space="0" w:color="00000A"/>
          <w:left w:val="double" w:sz="4" w:space="0" w:color="00000A"/>
          <w:bottom w:val="double" w:sz="4" w:space="0" w:color="00000A"/>
          <w:right w:val="double" w:sz="4" w:space="0" w:color="00000A"/>
          <w:insideH w:val="double" w:sz="4" w:space="0" w:color="00000A"/>
          <w:insideV w:val="double" w:sz="4" w:space="0" w:color="00000A"/>
        </w:tblBorders>
        <w:tblCellMar>
          <w:left w:w="69" w:type="dxa"/>
          <w:right w:w="70" w:type="dxa"/>
        </w:tblCellMar>
        <w:tblLook w:val="0000" w:firstRow="0" w:lastRow="0" w:firstColumn="0" w:lastColumn="0" w:noHBand="0" w:noVBand="0"/>
      </w:tblPr>
      <w:tblGrid>
        <w:gridCol w:w="4785"/>
        <w:gridCol w:w="2835"/>
        <w:gridCol w:w="2701"/>
      </w:tblGrid>
      <w:tr w:rsidR="00CA7085">
        <w:trPr>
          <w:trHeight w:val="382"/>
        </w:trPr>
        <w:tc>
          <w:tcPr>
            <w:tcW w:w="10321" w:type="dxa"/>
            <w:gridSpan w:val="3"/>
            <w:tcBorders>
              <w:top w:val="double" w:sz="4" w:space="0" w:color="00000A"/>
              <w:left w:val="double" w:sz="4" w:space="0" w:color="00000A"/>
              <w:bottom w:val="double" w:sz="4" w:space="0" w:color="00000A"/>
              <w:right w:val="double" w:sz="4" w:space="0" w:color="00000A"/>
            </w:tcBorders>
            <w:shd w:val="clear" w:color="auto" w:fill="auto"/>
            <w:tcMar>
              <w:left w:w="69" w:type="dxa"/>
            </w:tcMar>
            <w:vAlign w:val="center"/>
          </w:tcPr>
          <w:p w:rsidR="00CA7085" w:rsidRDefault="00C402B7">
            <w:pPr>
              <w:rPr>
                <w:rFonts w:ascii="Century Gothic" w:hAnsi="Century Gothic" w:cs="Arial"/>
                <w:sz w:val="20"/>
              </w:rPr>
            </w:pPr>
            <w:r>
              <w:rPr>
                <w:rFonts w:ascii="Century Gothic" w:hAnsi="Century Gothic" w:cs="Arial"/>
                <w:b/>
                <w:bCs/>
                <w:sz w:val="20"/>
              </w:rPr>
              <w:t>CIERRE DE ACCIONES DE MEJORA PENDIENTES EN REUNIÓN ANTERIOR</w:t>
            </w:r>
          </w:p>
        </w:tc>
      </w:tr>
      <w:tr w:rsidR="00CA7085">
        <w:trPr>
          <w:trHeight w:val="382"/>
        </w:trPr>
        <w:tc>
          <w:tcPr>
            <w:tcW w:w="4785" w:type="dxa"/>
            <w:tcBorders>
              <w:top w:val="double" w:sz="4" w:space="0" w:color="00000A"/>
              <w:left w:val="double" w:sz="4" w:space="0" w:color="00000A"/>
              <w:bottom w:val="double" w:sz="4" w:space="0" w:color="00000A"/>
              <w:right w:val="double" w:sz="4" w:space="0" w:color="00000A"/>
            </w:tcBorders>
            <w:shd w:val="clear" w:color="auto" w:fill="auto"/>
            <w:tcMar>
              <w:left w:w="69" w:type="dxa"/>
            </w:tcMar>
            <w:vAlign w:val="center"/>
          </w:tcPr>
          <w:p w:rsidR="00CA7085" w:rsidRDefault="00C402B7">
            <w:pPr>
              <w:jc w:val="center"/>
              <w:rPr>
                <w:rFonts w:ascii="Century Gothic" w:hAnsi="Century Gothic"/>
                <w:sz w:val="20"/>
              </w:rPr>
            </w:pPr>
            <w:r>
              <w:rPr>
                <w:rFonts w:ascii="Century Gothic" w:hAnsi="Century Gothic"/>
                <w:b/>
                <w:sz w:val="20"/>
              </w:rPr>
              <w:t>COMPROMISO REUNIÓN ANTERIOR</w:t>
            </w:r>
          </w:p>
        </w:tc>
        <w:tc>
          <w:tcPr>
            <w:tcW w:w="2835" w:type="dxa"/>
            <w:tcBorders>
              <w:top w:val="double" w:sz="4" w:space="0" w:color="00000A"/>
              <w:left w:val="double" w:sz="4" w:space="0" w:color="00000A"/>
              <w:bottom w:val="double" w:sz="4" w:space="0" w:color="00000A"/>
              <w:right w:val="double" w:sz="4" w:space="0" w:color="00000A"/>
            </w:tcBorders>
            <w:shd w:val="clear" w:color="auto" w:fill="auto"/>
            <w:tcMar>
              <w:left w:w="69" w:type="dxa"/>
            </w:tcMar>
            <w:vAlign w:val="center"/>
          </w:tcPr>
          <w:p w:rsidR="00CA7085" w:rsidRDefault="00C402B7">
            <w:pPr>
              <w:jc w:val="center"/>
              <w:rPr>
                <w:rFonts w:ascii="Century Gothic" w:hAnsi="Century Gothic"/>
                <w:sz w:val="20"/>
              </w:rPr>
            </w:pPr>
            <w:r>
              <w:rPr>
                <w:rFonts w:ascii="Century Gothic" w:hAnsi="Century Gothic"/>
                <w:b/>
                <w:sz w:val="20"/>
              </w:rPr>
              <w:t>RESPONSABLE</w:t>
            </w:r>
          </w:p>
        </w:tc>
        <w:tc>
          <w:tcPr>
            <w:tcW w:w="2701" w:type="dxa"/>
            <w:tcBorders>
              <w:top w:val="double" w:sz="4" w:space="0" w:color="00000A"/>
              <w:left w:val="double" w:sz="4" w:space="0" w:color="00000A"/>
              <w:bottom w:val="double" w:sz="4" w:space="0" w:color="00000A"/>
              <w:right w:val="double" w:sz="4" w:space="0" w:color="00000A"/>
            </w:tcBorders>
            <w:shd w:val="clear" w:color="auto" w:fill="auto"/>
            <w:tcMar>
              <w:left w:w="69" w:type="dxa"/>
            </w:tcMar>
            <w:vAlign w:val="center"/>
          </w:tcPr>
          <w:p w:rsidR="00CA7085" w:rsidRDefault="00C402B7">
            <w:pPr>
              <w:jc w:val="center"/>
              <w:rPr>
                <w:rFonts w:ascii="Century Gothic" w:hAnsi="Century Gothic"/>
                <w:b/>
                <w:sz w:val="20"/>
              </w:rPr>
            </w:pPr>
            <w:r>
              <w:rPr>
                <w:rFonts w:ascii="Century Gothic" w:hAnsi="Century Gothic"/>
                <w:b/>
                <w:sz w:val="20"/>
              </w:rPr>
              <w:t>% DE CUMPLIMIENTO</w:t>
            </w:r>
          </w:p>
        </w:tc>
      </w:tr>
      <w:tr w:rsidR="00CA7085">
        <w:trPr>
          <w:trHeight w:val="315"/>
        </w:trPr>
        <w:tc>
          <w:tcPr>
            <w:tcW w:w="4785" w:type="dxa"/>
            <w:tcBorders>
              <w:top w:val="double" w:sz="4" w:space="0" w:color="00000A"/>
              <w:left w:val="double" w:sz="4" w:space="0" w:color="00000A"/>
              <w:bottom w:val="single" w:sz="4" w:space="0" w:color="00000A"/>
              <w:right w:val="single" w:sz="4" w:space="0" w:color="00000A"/>
            </w:tcBorders>
            <w:shd w:val="clear" w:color="auto" w:fill="auto"/>
            <w:tcMar>
              <w:left w:w="69" w:type="dxa"/>
            </w:tcMar>
          </w:tcPr>
          <w:p w:rsidR="00CA7085" w:rsidRDefault="00254572">
            <w:pPr>
              <w:rPr>
                <w:rFonts w:ascii="Century Gothic" w:hAnsi="Century Gothic"/>
                <w:sz w:val="20"/>
              </w:rPr>
            </w:pPr>
            <w:r>
              <w:rPr>
                <w:rFonts w:ascii="Century Gothic" w:hAnsi="Century Gothic"/>
                <w:sz w:val="20"/>
              </w:rPr>
              <w:t>N.A.</w:t>
            </w:r>
          </w:p>
        </w:tc>
        <w:tc>
          <w:tcPr>
            <w:tcW w:w="2835" w:type="dxa"/>
            <w:tcBorders>
              <w:top w:val="double" w:sz="4" w:space="0" w:color="00000A"/>
              <w:left w:val="single" w:sz="4" w:space="0" w:color="00000A"/>
              <w:bottom w:val="single" w:sz="4" w:space="0" w:color="00000A"/>
              <w:right w:val="single" w:sz="4" w:space="0" w:color="00000A"/>
            </w:tcBorders>
            <w:shd w:val="clear" w:color="auto" w:fill="auto"/>
            <w:tcMar>
              <w:left w:w="79" w:type="dxa"/>
            </w:tcMar>
          </w:tcPr>
          <w:p w:rsidR="00CA7085" w:rsidRDefault="00254572">
            <w:pPr>
              <w:rPr>
                <w:rFonts w:ascii="Century Gothic" w:hAnsi="Century Gothic"/>
                <w:b/>
                <w:sz w:val="20"/>
              </w:rPr>
            </w:pPr>
            <w:r>
              <w:rPr>
                <w:rFonts w:ascii="Century Gothic" w:hAnsi="Century Gothic"/>
                <w:sz w:val="20"/>
              </w:rPr>
              <w:t>N.A.</w:t>
            </w:r>
          </w:p>
        </w:tc>
        <w:tc>
          <w:tcPr>
            <w:tcW w:w="2701" w:type="dxa"/>
            <w:tcBorders>
              <w:top w:val="double" w:sz="4" w:space="0" w:color="00000A"/>
              <w:left w:val="single" w:sz="4" w:space="0" w:color="00000A"/>
              <w:bottom w:val="single" w:sz="4" w:space="0" w:color="00000A"/>
              <w:right w:val="double" w:sz="4" w:space="0" w:color="00000A"/>
            </w:tcBorders>
            <w:shd w:val="clear" w:color="auto" w:fill="auto"/>
            <w:tcMar>
              <w:left w:w="79" w:type="dxa"/>
            </w:tcMar>
          </w:tcPr>
          <w:p w:rsidR="00CA7085" w:rsidRDefault="00254572">
            <w:pPr>
              <w:rPr>
                <w:rFonts w:ascii="Century Gothic" w:hAnsi="Century Gothic"/>
                <w:b/>
                <w:sz w:val="20"/>
              </w:rPr>
            </w:pPr>
            <w:r>
              <w:rPr>
                <w:rFonts w:ascii="Century Gothic" w:hAnsi="Century Gothic"/>
                <w:sz w:val="20"/>
              </w:rPr>
              <w:t>N.A.</w:t>
            </w:r>
          </w:p>
        </w:tc>
      </w:tr>
      <w:tr w:rsidR="00CA7085">
        <w:trPr>
          <w:trHeight w:val="315"/>
        </w:trPr>
        <w:tc>
          <w:tcPr>
            <w:tcW w:w="4785" w:type="dxa"/>
            <w:tcBorders>
              <w:top w:val="single" w:sz="4" w:space="0" w:color="00000A"/>
              <w:left w:val="double" w:sz="4" w:space="0" w:color="00000A"/>
              <w:bottom w:val="single" w:sz="4" w:space="0" w:color="00000A"/>
              <w:right w:val="single" w:sz="4" w:space="0" w:color="00000A"/>
            </w:tcBorders>
            <w:shd w:val="clear" w:color="auto" w:fill="auto"/>
            <w:tcMar>
              <w:left w:w="69" w:type="dxa"/>
            </w:tcMar>
          </w:tcPr>
          <w:p w:rsidR="00CA7085" w:rsidRDefault="00CA7085">
            <w:pPr>
              <w:rPr>
                <w:rFonts w:ascii="Century Gothic" w:hAnsi="Century Gothic"/>
                <w:sz w:val="20"/>
              </w:rPr>
            </w:pP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79" w:type="dxa"/>
            </w:tcMar>
          </w:tcPr>
          <w:p w:rsidR="00CA7085" w:rsidRDefault="00CA7085">
            <w:pPr>
              <w:rPr>
                <w:rFonts w:ascii="Century Gothic" w:hAnsi="Century Gothic"/>
                <w:b/>
                <w:sz w:val="20"/>
              </w:rPr>
            </w:pPr>
          </w:p>
        </w:tc>
        <w:tc>
          <w:tcPr>
            <w:tcW w:w="2701" w:type="dxa"/>
            <w:tcBorders>
              <w:top w:val="single" w:sz="4" w:space="0" w:color="00000A"/>
              <w:left w:val="single" w:sz="4" w:space="0" w:color="00000A"/>
              <w:bottom w:val="single" w:sz="4" w:space="0" w:color="00000A"/>
              <w:right w:val="double" w:sz="4" w:space="0" w:color="00000A"/>
            </w:tcBorders>
            <w:shd w:val="clear" w:color="auto" w:fill="auto"/>
            <w:tcMar>
              <w:left w:w="79" w:type="dxa"/>
            </w:tcMar>
          </w:tcPr>
          <w:p w:rsidR="00CA7085" w:rsidRDefault="00CA7085">
            <w:pPr>
              <w:rPr>
                <w:rFonts w:ascii="Century Gothic" w:hAnsi="Century Gothic"/>
                <w:b/>
                <w:sz w:val="20"/>
              </w:rPr>
            </w:pPr>
          </w:p>
        </w:tc>
      </w:tr>
      <w:tr w:rsidR="00CA7085">
        <w:trPr>
          <w:trHeight w:val="339"/>
        </w:trPr>
        <w:tc>
          <w:tcPr>
            <w:tcW w:w="4785" w:type="dxa"/>
            <w:tcBorders>
              <w:top w:val="single" w:sz="4" w:space="0" w:color="00000A"/>
              <w:left w:val="double" w:sz="4" w:space="0" w:color="00000A"/>
              <w:bottom w:val="single" w:sz="4" w:space="0" w:color="00000A"/>
              <w:right w:val="single" w:sz="4" w:space="0" w:color="00000A"/>
            </w:tcBorders>
            <w:shd w:val="clear" w:color="auto" w:fill="auto"/>
            <w:tcMar>
              <w:left w:w="69" w:type="dxa"/>
            </w:tcMar>
          </w:tcPr>
          <w:p w:rsidR="00CA7085" w:rsidRDefault="00CA7085">
            <w:pPr>
              <w:rPr>
                <w:rFonts w:ascii="Century Gothic" w:hAnsi="Century Gothic"/>
                <w:sz w:val="20"/>
              </w:rPr>
            </w:pPr>
          </w:p>
        </w:tc>
        <w:tc>
          <w:tcPr>
            <w:tcW w:w="2835" w:type="dxa"/>
            <w:tcBorders>
              <w:top w:val="single" w:sz="4" w:space="0" w:color="00000A"/>
              <w:left w:val="single" w:sz="4" w:space="0" w:color="00000A"/>
              <w:bottom w:val="single" w:sz="4" w:space="0" w:color="00000A"/>
              <w:right w:val="single" w:sz="4" w:space="0" w:color="00000A"/>
            </w:tcBorders>
            <w:shd w:val="clear" w:color="auto" w:fill="auto"/>
            <w:tcMar>
              <w:left w:w="79" w:type="dxa"/>
            </w:tcMar>
          </w:tcPr>
          <w:p w:rsidR="00CA7085" w:rsidRDefault="00CA7085">
            <w:pPr>
              <w:rPr>
                <w:rFonts w:ascii="Century Gothic" w:hAnsi="Century Gothic"/>
                <w:b/>
                <w:sz w:val="20"/>
              </w:rPr>
            </w:pPr>
          </w:p>
        </w:tc>
        <w:tc>
          <w:tcPr>
            <w:tcW w:w="2701" w:type="dxa"/>
            <w:tcBorders>
              <w:top w:val="single" w:sz="4" w:space="0" w:color="00000A"/>
              <w:left w:val="single" w:sz="4" w:space="0" w:color="00000A"/>
              <w:bottom w:val="single" w:sz="4" w:space="0" w:color="00000A"/>
              <w:right w:val="double" w:sz="4" w:space="0" w:color="00000A"/>
            </w:tcBorders>
            <w:shd w:val="clear" w:color="auto" w:fill="auto"/>
            <w:tcMar>
              <w:left w:w="79" w:type="dxa"/>
            </w:tcMar>
          </w:tcPr>
          <w:p w:rsidR="00CA7085" w:rsidRDefault="00CA7085">
            <w:pPr>
              <w:rPr>
                <w:rFonts w:ascii="Century Gothic" w:hAnsi="Century Gothic"/>
                <w:b/>
                <w:sz w:val="20"/>
              </w:rPr>
            </w:pPr>
          </w:p>
        </w:tc>
      </w:tr>
      <w:tr w:rsidR="00CA7085">
        <w:trPr>
          <w:trHeight w:val="339"/>
        </w:trPr>
        <w:tc>
          <w:tcPr>
            <w:tcW w:w="4785" w:type="dxa"/>
            <w:tcBorders>
              <w:top w:val="single" w:sz="4" w:space="0" w:color="00000A"/>
              <w:left w:val="double" w:sz="4" w:space="0" w:color="00000A"/>
              <w:bottom w:val="double" w:sz="4" w:space="0" w:color="00000A"/>
              <w:right w:val="single" w:sz="4" w:space="0" w:color="00000A"/>
            </w:tcBorders>
            <w:shd w:val="clear" w:color="auto" w:fill="auto"/>
            <w:tcMar>
              <w:left w:w="69" w:type="dxa"/>
            </w:tcMar>
          </w:tcPr>
          <w:p w:rsidR="00CA7085" w:rsidRDefault="00CA7085">
            <w:pPr>
              <w:rPr>
                <w:rFonts w:ascii="Century Gothic" w:hAnsi="Century Gothic"/>
                <w:sz w:val="20"/>
              </w:rPr>
            </w:pPr>
          </w:p>
        </w:tc>
        <w:tc>
          <w:tcPr>
            <w:tcW w:w="2835" w:type="dxa"/>
            <w:tcBorders>
              <w:top w:val="single" w:sz="4" w:space="0" w:color="00000A"/>
              <w:left w:val="single" w:sz="4" w:space="0" w:color="00000A"/>
              <w:bottom w:val="double" w:sz="4" w:space="0" w:color="00000A"/>
              <w:right w:val="single" w:sz="4" w:space="0" w:color="00000A"/>
            </w:tcBorders>
            <w:shd w:val="clear" w:color="auto" w:fill="auto"/>
            <w:tcMar>
              <w:left w:w="79" w:type="dxa"/>
            </w:tcMar>
          </w:tcPr>
          <w:p w:rsidR="00CA7085" w:rsidRDefault="00CA7085">
            <w:pPr>
              <w:rPr>
                <w:rFonts w:ascii="Century Gothic" w:hAnsi="Century Gothic"/>
                <w:b/>
                <w:sz w:val="20"/>
              </w:rPr>
            </w:pPr>
          </w:p>
        </w:tc>
        <w:tc>
          <w:tcPr>
            <w:tcW w:w="2701" w:type="dxa"/>
            <w:tcBorders>
              <w:top w:val="single" w:sz="4" w:space="0" w:color="00000A"/>
              <w:left w:val="single" w:sz="4" w:space="0" w:color="00000A"/>
              <w:bottom w:val="double" w:sz="4" w:space="0" w:color="00000A"/>
              <w:right w:val="double" w:sz="4" w:space="0" w:color="00000A"/>
            </w:tcBorders>
            <w:shd w:val="clear" w:color="auto" w:fill="auto"/>
            <w:tcMar>
              <w:left w:w="79" w:type="dxa"/>
            </w:tcMar>
          </w:tcPr>
          <w:p w:rsidR="00CA7085" w:rsidRDefault="00CA7085">
            <w:pPr>
              <w:rPr>
                <w:rFonts w:ascii="Century Gothic" w:hAnsi="Century Gothic"/>
                <w:b/>
                <w:sz w:val="20"/>
              </w:rPr>
            </w:pPr>
          </w:p>
        </w:tc>
      </w:tr>
      <w:tr w:rsidR="00CA7085">
        <w:trPr>
          <w:trHeight w:val="382"/>
        </w:trPr>
        <w:tc>
          <w:tcPr>
            <w:tcW w:w="10321" w:type="dxa"/>
            <w:gridSpan w:val="3"/>
            <w:tcBorders>
              <w:top w:val="double" w:sz="4" w:space="0" w:color="00000A"/>
              <w:left w:val="double" w:sz="4" w:space="0" w:color="00000A"/>
              <w:bottom w:val="double" w:sz="4" w:space="0" w:color="00000A"/>
              <w:right w:val="double" w:sz="4" w:space="0" w:color="00000A"/>
            </w:tcBorders>
            <w:shd w:val="clear" w:color="auto" w:fill="auto"/>
            <w:tcMar>
              <w:left w:w="69" w:type="dxa"/>
            </w:tcMar>
            <w:vAlign w:val="center"/>
          </w:tcPr>
          <w:p w:rsidR="00254572" w:rsidRDefault="00254572">
            <w:pPr>
              <w:rPr>
                <w:rFonts w:ascii="Century Gothic" w:hAnsi="Century Gothic"/>
                <w:b/>
                <w:sz w:val="20"/>
              </w:rPr>
            </w:pPr>
          </w:p>
          <w:p w:rsidR="00254572" w:rsidRDefault="00254572">
            <w:pPr>
              <w:rPr>
                <w:rFonts w:ascii="Century Gothic" w:hAnsi="Century Gothic"/>
                <w:b/>
                <w:sz w:val="20"/>
              </w:rPr>
            </w:pPr>
          </w:p>
          <w:p w:rsidR="00254572" w:rsidRDefault="00254572">
            <w:pPr>
              <w:rPr>
                <w:rFonts w:ascii="Century Gothic" w:hAnsi="Century Gothic"/>
                <w:b/>
                <w:sz w:val="20"/>
              </w:rPr>
            </w:pPr>
          </w:p>
          <w:p w:rsidR="00254572" w:rsidRDefault="00254572">
            <w:pPr>
              <w:rPr>
                <w:rFonts w:ascii="Century Gothic" w:hAnsi="Century Gothic"/>
                <w:b/>
                <w:sz w:val="20"/>
              </w:rPr>
            </w:pPr>
          </w:p>
          <w:p w:rsidR="00710E0B" w:rsidRDefault="00710E0B">
            <w:pPr>
              <w:rPr>
                <w:rFonts w:ascii="Century Gothic" w:hAnsi="Century Gothic"/>
                <w:b/>
                <w:sz w:val="20"/>
              </w:rPr>
            </w:pPr>
          </w:p>
          <w:p w:rsidR="00254572" w:rsidRDefault="00254572">
            <w:pPr>
              <w:rPr>
                <w:rFonts w:ascii="Century Gothic" w:hAnsi="Century Gothic"/>
                <w:b/>
                <w:sz w:val="20"/>
              </w:rPr>
            </w:pPr>
          </w:p>
          <w:p w:rsidR="00CA7085" w:rsidRDefault="00C402B7">
            <w:pPr>
              <w:rPr>
                <w:rFonts w:ascii="Century Gothic" w:hAnsi="Century Gothic" w:cs="Arial"/>
                <w:sz w:val="20"/>
              </w:rPr>
            </w:pPr>
            <w:r>
              <w:rPr>
                <w:rFonts w:ascii="Century Gothic" w:hAnsi="Century Gothic"/>
                <w:b/>
                <w:sz w:val="20"/>
              </w:rPr>
              <w:t>DESARROLLO DE LA REUNIÓN</w:t>
            </w:r>
          </w:p>
        </w:tc>
      </w:tr>
      <w:tr w:rsidR="00CA7085" w:rsidRPr="00506F58">
        <w:trPr>
          <w:trHeight w:val="2867"/>
        </w:trPr>
        <w:tc>
          <w:tcPr>
            <w:tcW w:w="10321" w:type="dxa"/>
            <w:gridSpan w:val="3"/>
            <w:tcBorders>
              <w:top w:val="double" w:sz="4" w:space="0" w:color="00000A"/>
              <w:left w:val="double" w:sz="4" w:space="0" w:color="00000A"/>
              <w:bottom w:val="double" w:sz="4" w:space="0" w:color="00000A"/>
              <w:right w:val="double" w:sz="4" w:space="0" w:color="00000A"/>
            </w:tcBorders>
            <w:shd w:val="clear" w:color="auto" w:fill="auto"/>
            <w:tcMar>
              <w:left w:w="69" w:type="dxa"/>
            </w:tcMar>
          </w:tcPr>
          <w:p w:rsidR="008A05D4" w:rsidRPr="00506F58" w:rsidRDefault="008A05D4" w:rsidP="00D71099">
            <w:pPr>
              <w:pStyle w:val="Prrafodelista"/>
              <w:numPr>
                <w:ilvl w:val="3"/>
                <w:numId w:val="1"/>
              </w:numPr>
              <w:tabs>
                <w:tab w:val="left" w:pos="896"/>
              </w:tabs>
              <w:ind w:left="896"/>
              <w:jc w:val="both"/>
              <w:rPr>
                <w:rFonts w:ascii="Arial" w:hAnsi="Arial" w:cs="Arial"/>
                <w:b/>
                <w:sz w:val="20"/>
              </w:rPr>
            </w:pPr>
            <w:r w:rsidRPr="00506F58">
              <w:rPr>
                <w:rFonts w:ascii="Arial" w:hAnsi="Arial" w:cs="Arial"/>
                <w:b/>
                <w:color w:val="000000" w:themeColor="text1"/>
                <w:sz w:val="20"/>
              </w:rPr>
              <w:lastRenderedPageBreak/>
              <w:t>INSTALACION DEL COVE Y LECTURA DEL ACTA ANTERIOR</w:t>
            </w:r>
          </w:p>
          <w:p w:rsidR="008A05D4" w:rsidRPr="00506F58" w:rsidRDefault="008A05D4" w:rsidP="008A05D4">
            <w:pPr>
              <w:pStyle w:val="Prrafodelista"/>
              <w:tabs>
                <w:tab w:val="left" w:pos="810"/>
              </w:tabs>
              <w:ind w:left="896"/>
              <w:jc w:val="both"/>
              <w:rPr>
                <w:rFonts w:ascii="Arial" w:hAnsi="Arial" w:cs="Arial"/>
                <w:b/>
                <w:color w:val="000000" w:themeColor="text1"/>
                <w:sz w:val="20"/>
              </w:rPr>
            </w:pPr>
          </w:p>
          <w:p w:rsidR="008A05D4" w:rsidRPr="00506F58" w:rsidRDefault="008A05D4" w:rsidP="008A05D4">
            <w:pPr>
              <w:tabs>
                <w:tab w:val="left" w:pos="810"/>
              </w:tabs>
              <w:jc w:val="both"/>
              <w:rPr>
                <w:rFonts w:ascii="Arial" w:hAnsi="Arial" w:cs="Arial"/>
                <w:b/>
                <w:sz w:val="20"/>
              </w:rPr>
            </w:pPr>
          </w:p>
          <w:p w:rsidR="00CA7085" w:rsidRPr="00506F58" w:rsidRDefault="00C402B7" w:rsidP="008A05D4">
            <w:pPr>
              <w:tabs>
                <w:tab w:val="left" w:pos="810"/>
              </w:tabs>
              <w:jc w:val="both"/>
              <w:rPr>
                <w:rFonts w:ascii="Arial" w:hAnsi="Arial" w:cs="Arial"/>
                <w:color w:val="000000" w:themeColor="text1"/>
                <w:sz w:val="20"/>
              </w:rPr>
            </w:pPr>
            <w:r w:rsidRPr="00506F58">
              <w:rPr>
                <w:rFonts w:ascii="Arial" w:hAnsi="Arial" w:cs="Arial"/>
                <w:color w:val="000000" w:themeColor="text1"/>
                <w:sz w:val="20"/>
              </w:rPr>
              <w:t xml:space="preserve">Se inicia la reunión con la participación de las epidemiólogas de SISVESO </w:t>
            </w:r>
            <w:proofErr w:type="spellStart"/>
            <w:r w:rsidRPr="00506F58">
              <w:rPr>
                <w:rFonts w:ascii="Arial" w:hAnsi="Arial" w:cs="Arial"/>
                <w:color w:val="000000" w:themeColor="text1"/>
                <w:sz w:val="20"/>
              </w:rPr>
              <w:t>Taylin</w:t>
            </w:r>
            <w:proofErr w:type="spellEnd"/>
            <w:r w:rsidRPr="00506F58">
              <w:rPr>
                <w:rFonts w:ascii="Arial" w:hAnsi="Arial" w:cs="Arial"/>
                <w:color w:val="000000" w:themeColor="text1"/>
                <w:sz w:val="20"/>
              </w:rPr>
              <w:t xml:space="preserve"> Pineda; profesionales especializadas en salud ocupacional  </w:t>
            </w:r>
            <w:proofErr w:type="spellStart"/>
            <w:r w:rsidRPr="00506F58">
              <w:rPr>
                <w:rFonts w:ascii="Arial" w:hAnsi="Arial" w:cs="Arial"/>
                <w:color w:val="000000" w:themeColor="text1"/>
                <w:sz w:val="20"/>
              </w:rPr>
              <w:t>Yazmin</w:t>
            </w:r>
            <w:proofErr w:type="spellEnd"/>
            <w:r w:rsidRPr="00506F58">
              <w:rPr>
                <w:rFonts w:ascii="Arial" w:hAnsi="Arial" w:cs="Arial"/>
                <w:color w:val="000000" w:themeColor="text1"/>
                <w:sz w:val="20"/>
              </w:rPr>
              <w:t xml:space="preserve"> </w:t>
            </w:r>
            <w:proofErr w:type="spellStart"/>
            <w:r w:rsidRPr="00506F58">
              <w:rPr>
                <w:rFonts w:ascii="Arial" w:hAnsi="Arial" w:cs="Arial"/>
                <w:color w:val="000000" w:themeColor="text1"/>
                <w:sz w:val="20"/>
              </w:rPr>
              <w:t>Rodriguez</w:t>
            </w:r>
            <w:proofErr w:type="spellEnd"/>
            <w:r w:rsidRPr="00506F58">
              <w:rPr>
                <w:rFonts w:ascii="Arial" w:hAnsi="Arial" w:cs="Arial"/>
                <w:color w:val="000000" w:themeColor="text1"/>
                <w:sz w:val="20"/>
              </w:rPr>
              <w:t xml:space="preserve"> y </w:t>
            </w:r>
            <w:proofErr w:type="spellStart"/>
            <w:r w:rsidRPr="00506F58">
              <w:rPr>
                <w:rFonts w:ascii="Arial" w:hAnsi="Arial" w:cs="Arial"/>
                <w:color w:val="000000" w:themeColor="text1"/>
                <w:sz w:val="20"/>
              </w:rPr>
              <w:t>Betsy</w:t>
            </w:r>
            <w:proofErr w:type="spellEnd"/>
            <w:r w:rsidRPr="00506F58">
              <w:rPr>
                <w:rFonts w:ascii="Arial" w:hAnsi="Arial" w:cs="Arial"/>
                <w:color w:val="000000" w:themeColor="text1"/>
                <w:sz w:val="20"/>
              </w:rPr>
              <w:t xml:space="preserve"> Fernanda Salazar;  </w:t>
            </w:r>
            <w:r w:rsidR="008A05D4" w:rsidRPr="00506F58">
              <w:rPr>
                <w:rFonts w:ascii="Arial" w:hAnsi="Arial" w:cs="Arial"/>
                <w:color w:val="000000" w:themeColor="text1"/>
                <w:sz w:val="20"/>
              </w:rPr>
              <w:t xml:space="preserve">profesional </w:t>
            </w:r>
            <w:proofErr w:type="spellStart"/>
            <w:r w:rsidR="008A05D4" w:rsidRPr="00506F58">
              <w:rPr>
                <w:rFonts w:ascii="Arial" w:hAnsi="Arial" w:cs="Arial"/>
                <w:color w:val="000000" w:themeColor="text1"/>
                <w:sz w:val="20"/>
              </w:rPr>
              <w:t>especialziado</w:t>
            </w:r>
            <w:proofErr w:type="spellEnd"/>
            <w:r w:rsidRPr="00506F58">
              <w:rPr>
                <w:rFonts w:ascii="Arial" w:hAnsi="Arial" w:cs="Arial"/>
                <w:color w:val="000000" w:themeColor="text1"/>
                <w:sz w:val="20"/>
              </w:rPr>
              <w:t xml:space="preserve"> SIVIGILA</w:t>
            </w:r>
            <w:r w:rsidR="00732EA1" w:rsidRPr="00506F58">
              <w:rPr>
                <w:rFonts w:ascii="Arial" w:hAnsi="Arial" w:cs="Arial"/>
                <w:color w:val="000000" w:themeColor="text1"/>
                <w:sz w:val="20"/>
              </w:rPr>
              <w:t xml:space="preserve"> </w:t>
            </w:r>
            <w:proofErr w:type="spellStart"/>
            <w:r w:rsidR="00406DE8" w:rsidRPr="00506F58">
              <w:rPr>
                <w:rFonts w:ascii="Arial" w:hAnsi="Arial" w:cs="Arial"/>
                <w:color w:val="000000" w:themeColor="text1"/>
                <w:sz w:val="20"/>
              </w:rPr>
              <w:t>Heidy</w:t>
            </w:r>
            <w:proofErr w:type="spellEnd"/>
            <w:r w:rsidR="00406DE8" w:rsidRPr="00506F58">
              <w:rPr>
                <w:rFonts w:ascii="Arial" w:hAnsi="Arial" w:cs="Arial"/>
                <w:color w:val="000000" w:themeColor="text1"/>
                <w:sz w:val="20"/>
              </w:rPr>
              <w:t xml:space="preserve"> Hernández</w:t>
            </w:r>
            <w:r w:rsidR="00732EA1" w:rsidRPr="00506F58">
              <w:rPr>
                <w:rFonts w:ascii="Arial" w:hAnsi="Arial" w:cs="Arial"/>
                <w:color w:val="000000" w:themeColor="text1"/>
                <w:sz w:val="20"/>
              </w:rPr>
              <w:t>; Subred Sur Bibiana Acero Ingeniera Ambiental.</w:t>
            </w:r>
          </w:p>
          <w:p w:rsidR="008A05D4" w:rsidRPr="00506F58" w:rsidRDefault="008A05D4" w:rsidP="008A05D4">
            <w:pPr>
              <w:tabs>
                <w:tab w:val="left" w:pos="810"/>
              </w:tabs>
              <w:jc w:val="both"/>
              <w:rPr>
                <w:rFonts w:ascii="Arial" w:hAnsi="Arial" w:cs="Arial"/>
                <w:color w:val="000000" w:themeColor="text1"/>
                <w:sz w:val="20"/>
              </w:rPr>
            </w:pPr>
          </w:p>
          <w:p w:rsidR="008A05D4" w:rsidRPr="00506F58" w:rsidRDefault="008A05D4" w:rsidP="00D71099">
            <w:pPr>
              <w:pStyle w:val="Prrafodelista"/>
              <w:numPr>
                <w:ilvl w:val="3"/>
                <w:numId w:val="1"/>
              </w:numPr>
              <w:tabs>
                <w:tab w:val="left" w:pos="810"/>
              </w:tabs>
              <w:ind w:left="896"/>
              <w:jc w:val="both"/>
              <w:rPr>
                <w:rFonts w:ascii="Arial" w:hAnsi="Arial" w:cs="Arial"/>
                <w:b/>
                <w:color w:val="000000" w:themeColor="text1"/>
                <w:sz w:val="20"/>
              </w:rPr>
            </w:pPr>
            <w:r w:rsidRPr="00506F58">
              <w:rPr>
                <w:rFonts w:ascii="Arial" w:hAnsi="Arial" w:cs="Arial"/>
                <w:b/>
                <w:sz w:val="20"/>
              </w:rPr>
              <w:t>INTRODUCCIÓN SIVISTRA</w:t>
            </w:r>
          </w:p>
          <w:p w:rsidR="00CA7085" w:rsidRPr="00506F58" w:rsidRDefault="00CA7085">
            <w:pPr>
              <w:tabs>
                <w:tab w:val="left" w:pos="810"/>
              </w:tabs>
              <w:jc w:val="both"/>
              <w:rPr>
                <w:rFonts w:ascii="Arial" w:hAnsi="Arial" w:cs="Arial"/>
                <w:color w:val="000000" w:themeColor="text1"/>
                <w:sz w:val="20"/>
              </w:rPr>
            </w:pPr>
          </w:p>
          <w:p w:rsidR="00CA7085" w:rsidRPr="00506F58" w:rsidRDefault="00CA7085" w:rsidP="008A05D4">
            <w:pPr>
              <w:jc w:val="both"/>
              <w:rPr>
                <w:rFonts w:ascii="Arial" w:hAnsi="Arial" w:cs="Arial"/>
                <w:color w:val="000000" w:themeColor="text1"/>
                <w:sz w:val="20"/>
              </w:rPr>
            </w:pPr>
          </w:p>
          <w:p w:rsidR="00CA7085" w:rsidRPr="00506F58" w:rsidRDefault="00C402B7" w:rsidP="008A05D4">
            <w:pPr>
              <w:jc w:val="both"/>
              <w:rPr>
                <w:rFonts w:ascii="Arial" w:hAnsi="Arial" w:cs="Arial"/>
                <w:sz w:val="20"/>
              </w:rPr>
            </w:pPr>
            <w:r w:rsidRPr="00506F58">
              <w:rPr>
                <w:rFonts w:ascii="Arial" w:hAnsi="Arial" w:cs="Arial"/>
                <w:sz w:val="20"/>
              </w:rPr>
              <w:t>Se inicia intervención por parte del Subsistema SIVISTRA donde se soc</w:t>
            </w:r>
            <w:r w:rsidR="00254572" w:rsidRPr="00506F58">
              <w:rPr>
                <w:rFonts w:ascii="Arial" w:hAnsi="Arial" w:cs="Arial"/>
                <w:sz w:val="20"/>
              </w:rPr>
              <w:t xml:space="preserve">ializa el sistema de vigilancia </w:t>
            </w:r>
            <w:r w:rsidRPr="00506F58">
              <w:rPr>
                <w:rFonts w:ascii="Arial" w:hAnsi="Arial" w:cs="Arial"/>
                <w:sz w:val="20"/>
              </w:rPr>
              <w:t xml:space="preserve">epidemiológica ocupacional de  los trabajadores de la economía informal, partiendo de especificar que los trabajadores informales se caracterizan porque no cuentan con administradora de riesgos </w:t>
            </w:r>
            <w:proofErr w:type="gramStart"/>
            <w:r w:rsidRPr="00506F58">
              <w:rPr>
                <w:rFonts w:ascii="Arial" w:hAnsi="Arial" w:cs="Arial"/>
                <w:sz w:val="20"/>
              </w:rPr>
              <w:t>laborales(</w:t>
            </w:r>
            <w:proofErr w:type="gramEnd"/>
            <w:r w:rsidRPr="00506F58">
              <w:rPr>
                <w:rFonts w:ascii="Arial" w:hAnsi="Arial" w:cs="Arial"/>
                <w:sz w:val="20"/>
              </w:rPr>
              <w:t xml:space="preserve">ARL) y pueden pertenecer al régimen contributivo y/o subsidiado. Se plantea objetivo general el cual es proveer información de forma permanente, sistemática y oportuna para la generación de indicadores que permitan definir el perfil epidemiológico derivado de las condiciones de trabajo en el sector informal de la economía del distrito capital, como insumo para la generación o fortalecimiento de políticas orientadas a promover la restitución de derechos y garantías sociales inherentes al trabajo y prevenir daños a la vida y salud de los trabajadores. Dentro de los objetivos específicos se define fomentar la notificación y calificación de los eventos en salud relacionados con el trabajo identificados por las UPGD (Unidades Primarias Generadoras de Datos) IPS públicas y privadas; Investigar Accidentes de Trabajo y Enfermedades Laborales e identificar el perfil patológico derivado de condiciones de trabajo. Las profesionales especializadas en salud ocupacional mencionan las localidades de la subred norte donde actualmente realizan proceso de SIVISTRA teniendo en cuenta notificaciones por parte de las </w:t>
            </w:r>
            <w:proofErr w:type="spellStart"/>
            <w:r w:rsidRPr="00506F58">
              <w:rPr>
                <w:rFonts w:ascii="Arial" w:hAnsi="Arial" w:cs="Arial"/>
                <w:sz w:val="20"/>
              </w:rPr>
              <w:t>UPGDs</w:t>
            </w:r>
            <w:proofErr w:type="spellEnd"/>
            <w:r w:rsidRPr="00506F58">
              <w:rPr>
                <w:rFonts w:ascii="Arial" w:hAnsi="Arial" w:cs="Arial"/>
                <w:sz w:val="20"/>
              </w:rPr>
              <w:t xml:space="preserve">, reporte desde el equipo de espacio de trabajo y búsqueda activa en campo  según criterio de priorización establecido por la referente Graciela </w:t>
            </w:r>
            <w:proofErr w:type="spellStart"/>
            <w:r w:rsidRPr="00506F58">
              <w:rPr>
                <w:rFonts w:ascii="Arial" w:hAnsi="Arial" w:cs="Arial"/>
                <w:sz w:val="20"/>
              </w:rPr>
              <w:t>Holguin</w:t>
            </w:r>
            <w:proofErr w:type="spellEnd"/>
            <w:r w:rsidRPr="00506F58">
              <w:rPr>
                <w:rFonts w:ascii="Arial" w:hAnsi="Arial" w:cs="Arial"/>
                <w:sz w:val="20"/>
              </w:rPr>
              <w:t xml:space="preserve"> de Secretaria Distrital de Salud. Dentro del marco legal la secretaria de salud expidió la circular 002 de 2014 donde </w:t>
            </w:r>
            <w:r w:rsidRPr="00506F58">
              <w:rPr>
                <w:rFonts w:ascii="Arial" w:hAnsi="Arial" w:cs="Arial"/>
                <w:color w:val="000000"/>
                <w:sz w:val="20"/>
                <w:shd w:val="clear" w:color="auto" w:fill="FFFFFF"/>
              </w:rPr>
              <w:t xml:space="preserve">se exhorta al conjunto de Instituciones Prestadoras de Servicios de Salud – IPS y a las Empresas Sociales del Estado – ESE, a asumir su responsabilidad y compromiso de notificación de los eventos de interés en salud pública relacionados con las condiciones laborales de la población de la economía informal de la ciudad, referidos a accidentes de trabajo, enfermedades laborales y muertes laborales. </w:t>
            </w:r>
          </w:p>
          <w:p w:rsidR="00CA7085" w:rsidRPr="00506F58" w:rsidRDefault="00C402B7" w:rsidP="009218CF">
            <w:pPr>
              <w:jc w:val="both"/>
              <w:rPr>
                <w:rFonts w:ascii="Arial" w:hAnsi="Arial" w:cs="Arial"/>
                <w:sz w:val="20"/>
              </w:rPr>
            </w:pPr>
            <w:r w:rsidRPr="00506F58">
              <w:rPr>
                <w:rFonts w:ascii="Arial" w:hAnsi="Arial" w:cs="Arial"/>
                <w:sz w:val="20"/>
              </w:rPr>
              <w:t>Se contextualiza a los participantes en cuanto a eventos ocupacionales relacionados con accidente de trabajo, enfermedad laboral y condiciones peligrosas asociadas a riesgo químico por exposición en el entorno laboral.</w:t>
            </w:r>
          </w:p>
          <w:p w:rsidR="00CA7085" w:rsidRPr="00506F58" w:rsidRDefault="00C402B7" w:rsidP="009218CF">
            <w:pPr>
              <w:jc w:val="both"/>
              <w:rPr>
                <w:rFonts w:ascii="Arial" w:hAnsi="Arial" w:cs="Arial"/>
                <w:sz w:val="20"/>
              </w:rPr>
            </w:pPr>
            <w:r w:rsidRPr="00506F58">
              <w:rPr>
                <w:rFonts w:ascii="Arial" w:hAnsi="Arial" w:cs="Arial"/>
                <w:sz w:val="20"/>
              </w:rPr>
              <w:t xml:space="preserve">Se mencionan los criterios de inclusión dentro de los cuales, como se expresó anteriormente, el trabajador no debe contar con administradora de riesgos laborales, en caso de accidente, este debe haber ocurrido máximo un año antes de su notificación e ingreso al subsistema y en caso de enfermedad o manifestación clínica, los síntomas referidos deben haber permanecido por lo menos durante un mes. </w:t>
            </w:r>
          </w:p>
          <w:p w:rsidR="00CA7085" w:rsidRPr="00506F58" w:rsidRDefault="00C402B7" w:rsidP="009218CF">
            <w:pPr>
              <w:jc w:val="both"/>
              <w:rPr>
                <w:rFonts w:ascii="Arial" w:hAnsi="Arial" w:cs="Arial"/>
                <w:sz w:val="20"/>
              </w:rPr>
            </w:pPr>
            <w:r w:rsidRPr="00506F58">
              <w:rPr>
                <w:rFonts w:ascii="Arial" w:hAnsi="Arial" w:cs="Arial"/>
                <w:sz w:val="20"/>
              </w:rPr>
              <w:t xml:space="preserve">Dentro de los criterios de priorización según condición o patología se encuentran las afecciones respiratorias crónicas (alérgicas, irritativas, restrictivas u obstructivas), dermatitis, cáncer y manifestaciones clínicas generales tales como cefalea, vértigo, hipoacusia, pérdida de equilibrio, alteraciones neuromotoras y de sensibilidad, o cualquier otra sintomatología que pueda estar asociada a la exposición a sustancias químicas. La actividad económica también es otra forma de clasificación para la priorización ya que un trabajador que labore en industrias madereras, cueros, metalúrgica, metalmecánica, artes gráficas, agricultura, marmolería, peluquería y fabricación de productos químicos, se encuentra en alto riesgo de presentar problemas de salud derivadas de la exposición a agentes tóxicos. De la misma forma, las lesiones traumáticas moderadas o severas derivadas de accidentes se tendrán en cuenta como evento ocupacional para ser investigado por el equipo SIVISTRA. Para finalizar la introducción del subsistema, se socializa ficha de notificación (datos básicos requeridos) y correo </w:t>
            </w:r>
            <w:r w:rsidRPr="00506F58">
              <w:rPr>
                <w:rFonts w:ascii="Arial" w:hAnsi="Arial" w:cs="Arial"/>
                <w:sz w:val="20"/>
              </w:rPr>
              <w:lastRenderedPageBreak/>
              <w:t>(</w:t>
            </w:r>
            <w:proofErr w:type="spellStart"/>
            <w:r w:rsidRPr="00506F58">
              <w:rPr>
                <w:rFonts w:ascii="Arial" w:hAnsi="Arial" w:cs="Arial"/>
                <w:sz w:val="20"/>
              </w:rPr>
              <w:t>sivistra.norte</w:t>
            </w:r>
            <w:proofErr w:type="spellEnd"/>
            <w:r w:rsidRPr="00506F58">
              <w:rPr>
                <w:rFonts w:ascii="Arial" w:hAnsi="Arial" w:cs="Arial"/>
                <w:sz w:val="20"/>
              </w:rPr>
              <w:t xml:space="preserve"> @gmail.com) institucional al cual deben llegar las fichas escaneadas de los probables eventos ocupacionales identificados por las instituciones de salud.</w:t>
            </w:r>
          </w:p>
          <w:p w:rsidR="00CA7085" w:rsidRPr="00506F58" w:rsidRDefault="00C402B7" w:rsidP="009218CF">
            <w:pPr>
              <w:jc w:val="both"/>
              <w:rPr>
                <w:rFonts w:ascii="Arial" w:hAnsi="Arial" w:cs="Arial"/>
                <w:sz w:val="20"/>
              </w:rPr>
            </w:pPr>
            <w:r w:rsidRPr="00506F58">
              <w:rPr>
                <w:rFonts w:ascii="Arial" w:hAnsi="Arial" w:cs="Arial"/>
                <w:sz w:val="20"/>
              </w:rPr>
              <w:t xml:space="preserve">Se realiza  pausa activa por medio de ejercicios de gimnasia cerebral llamado abecedario donde los participantes deben coordinar  de forma simultánea y bilateral de ciertos movimientos a nivel de miembros superiores e inferiores direccionados por la profesional especialista SIVISTRA. </w:t>
            </w:r>
          </w:p>
          <w:p w:rsidR="00984EEB" w:rsidRPr="00506F58" w:rsidRDefault="00006D4C" w:rsidP="009218CF">
            <w:pPr>
              <w:jc w:val="both"/>
              <w:rPr>
                <w:rFonts w:ascii="Arial" w:hAnsi="Arial" w:cs="Arial"/>
                <w:sz w:val="20"/>
              </w:rPr>
            </w:pPr>
            <w:r w:rsidRPr="00506F58">
              <w:rPr>
                <w:rFonts w:ascii="Arial" w:hAnsi="Arial" w:cs="Arial"/>
                <w:sz w:val="20"/>
              </w:rPr>
              <w:t xml:space="preserve">Se </w:t>
            </w:r>
            <w:r w:rsidR="00C402B7" w:rsidRPr="00506F58">
              <w:rPr>
                <w:rFonts w:ascii="Arial" w:hAnsi="Arial" w:cs="Arial"/>
                <w:sz w:val="20"/>
              </w:rPr>
              <w:t xml:space="preserve">realiza socialización sobre el tema, sustancias químicas en el sector informal y sus afecciones a la salud donde </w:t>
            </w:r>
            <w:r w:rsidRPr="00506F58">
              <w:rPr>
                <w:rFonts w:ascii="Arial" w:hAnsi="Arial" w:cs="Arial"/>
                <w:sz w:val="20"/>
              </w:rPr>
              <w:t>se menciona</w:t>
            </w:r>
            <w:r w:rsidR="00C402B7" w:rsidRPr="00506F58">
              <w:rPr>
                <w:rFonts w:ascii="Arial" w:hAnsi="Arial" w:cs="Arial"/>
                <w:sz w:val="20"/>
              </w:rPr>
              <w:t xml:space="preserve"> que la epidemiología ocupacional aplica los métodos epidemiológicos en poblaciones trabajadoras y con énfasis en el estudio del ambiente ocupacional, esto con el fin de determinar si la exposición a una variedad de agentes (físicos, químicos, biológicos, biomecánicos y psicosociales) resulta en un efecto adverso a la salud. No es una simple recolección de datos sobre grupos de individuos. Se debe utilizar estos datos para proyectar o modificar la política de prevención de riesgos y los programas de intervención. Refiere que el decreto 1477 de 2014 por el cual se expide la tabla de enfermedades laborales establece agentes de riesgo y su relación con grupo de enfe</w:t>
            </w:r>
            <w:r w:rsidR="009218CF" w:rsidRPr="00506F58">
              <w:rPr>
                <w:rFonts w:ascii="Arial" w:hAnsi="Arial" w:cs="Arial"/>
                <w:sz w:val="20"/>
              </w:rPr>
              <w:t xml:space="preserve">rmedades. </w:t>
            </w:r>
          </w:p>
          <w:p w:rsidR="00CA7085" w:rsidRPr="00506F58" w:rsidRDefault="00CA7085">
            <w:pPr>
              <w:jc w:val="both"/>
              <w:rPr>
                <w:rFonts w:ascii="Arial" w:hAnsi="Arial" w:cs="Arial"/>
                <w:sz w:val="20"/>
              </w:rPr>
            </w:pPr>
          </w:p>
          <w:p w:rsidR="00CA7085" w:rsidRPr="00506F58" w:rsidRDefault="00C402B7" w:rsidP="009218CF">
            <w:pPr>
              <w:jc w:val="both"/>
              <w:rPr>
                <w:rFonts w:ascii="Arial" w:hAnsi="Arial" w:cs="Arial"/>
                <w:sz w:val="20"/>
              </w:rPr>
            </w:pPr>
            <w:r w:rsidRPr="00506F58">
              <w:rPr>
                <w:rFonts w:ascii="Arial" w:hAnsi="Arial" w:cs="Arial"/>
                <w:sz w:val="20"/>
              </w:rPr>
              <w:t xml:space="preserve">Las enfermedades asociadas a riesgo químico se clasifican según el sistema comprometido, en el S. Nervioso se encuentran Trastornos mentales, Encefalopatía, Neuropatía; en el S. Respiratorio se identifican Sinusitis, Rinitis, Laringitis, Faringitis, Asma, Bronquitis, Bronquiolitis, Edema pulmonar, Enfisema intersticial, Síndrome de disfunción reactiva de las vías aéreas, Fibrosis pulmonar, Neumoconiosis, Silicosis, Asbestosis,  Derrame pleural, Placas pleurales; en el S. Dérmico presentan Dermatitis de contacto, Dermatosis, </w:t>
            </w:r>
            <w:proofErr w:type="spellStart"/>
            <w:r w:rsidRPr="00506F58">
              <w:rPr>
                <w:rFonts w:ascii="Arial" w:hAnsi="Arial" w:cs="Arial"/>
                <w:sz w:val="20"/>
              </w:rPr>
              <w:t>Cloracné</w:t>
            </w:r>
            <w:proofErr w:type="spellEnd"/>
            <w:r w:rsidRPr="00506F58">
              <w:rPr>
                <w:rFonts w:ascii="Arial" w:hAnsi="Arial" w:cs="Arial"/>
                <w:sz w:val="20"/>
              </w:rPr>
              <w:t xml:space="preserve">; en el S. Reproductor se evidencia Infertilidad, Abortos espontáneos, Defectos al nacer, Partos prematuros y a nivel de cáncer se encuentra Leucemia, Mieloma, Linfoma, Tumores malignos, Neoplasias malignas, </w:t>
            </w:r>
            <w:proofErr w:type="spellStart"/>
            <w:r w:rsidRPr="00506F58">
              <w:rPr>
                <w:rFonts w:ascii="Arial" w:hAnsi="Arial" w:cs="Arial"/>
                <w:sz w:val="20"/>
              </w:rPr>
              <w:t>Mesotelioma</w:t>
            </w:r>
            <w:proofErr w:type="spellEnd"/>
            <w:r w:rsidRPr="00506F58">
              <w:rPr>
                <w:rFonts w:ascii="Arial" w:hAnsi="Arial" w:cs="Arial"/>
                <w:sz w:val="20"/>
              </w:rPr>
              <w:t xml:space="preserve"> entre otros.</w:t>
            </w:r>
          </w:p>
          <w:p w:rsidR="00CA7085" w:rsidRPr="00506F58" w:rsidRDefault="00CA7085">
            <w:pPr>
              <w:jc w:val="both"/>
              <w:rPr>
                <w:rFonts w:ascii="Arial" w:hAnsi="Arial" w:cs="Arial"/>
                <w:sz w:val="20"/>
              </w:rPr>
            </w:pPr>
          </w:p>
          <w:p w:rsidR="00CA7085" w:rsidRPr="00506F58" w:rsidRDefault="00C402B7" w:rsidP="009218CF">
            <w:pPr>
              <w:jc w:val="both"/>
              <w:rPr>
                <w:rFonts w:ascii="Arial" w:hAnsi="Arial" w:cs="Arial"/>
                <w:sz w:val="20"/>
              </w:rPr>
            </w:pPr>
            <w:r w:rsidRPr="00506F58">
              <w:rPr>
                <w:rFonts w:ascii="Arial" w:hAnsi="Arial" w:cs="Arial"/>
                <w:sz w:val="20"/>
              </w:rPr>
              <w:t>Las vías de ingreso de los agentes químicos se identifican como:</w:t>
            </w:r>
          </w:p>
          <w:p w:rsidR="00CA7085" w:rsidRPr="00506F58" w:rsidRDefault="00C402B7" w:rsidP="009218CF">
            <w:pPr>
              <w:jc w:val="both"/>
              <w:rPr>
                <w:rFonts w:ascii="Arial" w:hAnsi="Arial" w:cs="Arial"/>
                <w:sz w:val="20"/>
              </w:rPr>
            </w:pPr>
            <w:r w:rsidRPr="00506F58">
              <w:rPr>
                <w:rFonts w:ascii="Arial" w:hAnsi="Arial" w:cs="Arial"/>
                <w:b/>
                <w:sz w:val="20"/>
              </w:rPr>
              <w:t>Contacto ocular:</w:t>
            </w:r>
            <w:r w:rsidRPr="00506F58">
              <w:rPr>
                <w:rFonts w:ascii="Arial" w:hAnsi="Arial" w:cs="Arial"/>
                <w:sz w:val="20"/>
              </w:rPr>
              <w:t xml:space="preserve"> Las membranas mucosas que recubren los ojos pueden verse seriamente afectadas por proyecciones, salpicaduras o vapores de algunos productos químicos.</w:t>
            </w:r>
          </w:p>
          <w:p w:rsidR="00CA7085" w:rsidRPr="00506F58" w:rsidRDefault="00CA7085">
            <w:pPr>
              <w:jc w:val="both"/>
              <w:rPr>
                <w:rFonts w:ascii="Arial" w:hAnsi="Arial" w:cs="Arial"/>
                <w:sz w:val="20"/>
              </w:rPr>
            </w:pPr>
          </w:p>
          <w:p w:rsidR="00CA7085" w:rsidRPr="00506F58" w:rsidRDefault="00C402B7" w:rsidP="009218CF">
            <w:pPr>
              <w:jc w:val="both"/>
              <w:rPr>
                <w:rFonts w:ascii="Arial" w:hAnsi="Arial" w:cs="Arial"/>
                <w:sz w:val="20"/>
              </w:rPr>
            </w:pPr>
            <w:r w:rsidRPr="00506F58">
              <w:rPr>
                <w:rFonts w:ascii="Arial" w:hAnsi="Arial" w:cs="Arial"/>
                <w:b/>
                <w:sz w:val="20"/>
              </w:rPr>
              <w:t>Contacto dérmico:</w:t>
            </w:r>
            <w:r w:rsidRPr="00506F58">
              <w:rPr>
                <w:rFonts w:ascii="Arial" w:hAnsi="Arial" w:cs="Arial"/>
                <w:sz w:val="20"/>
              </w:rPr>
              <w:t xml:space="preserve"> La piel ofrece más de 1.5 metros cuadrados de superficie de absorción, sobre todo para agentes químicos solubles en grasas. Algunas sustancias pueden atravesar la piel sin causar erosiones o lesiones visibles e incorporarse a la sangre, para posteriormente ser distribuidas por todo el cuerpo.  </w:t>
            </w:r>
          </w:p>
          <w:p w:rsidR="00CA7085" w:rsidRPr="00506F58" w:rsidRDefault="00CA7085">
            <w:pPr>
              <w:jc w:val="both"/>
              <w:rPr>
                <w:rFonts w:ascii="Arial" w:hAnsi="Arial" w:cs="Arial"/>
                <w:sz w:val="20"/>
              </w:rPr>
            </w:pPr>
          </w:p>
          <w:p w:rsidR="00CA7085" w:rsidRPr="00506F58" w:rsidRDefault="00C402B7" w:rsidP="009218CF">
            <w:pPr>
              <w:jc w:val="both"/>
              <w:rPr>
                <w:rFonts w:ascii="Arial" w:hAnsi="Arial" w:cs="Arial"/>
                <w:sz w:val="20"/>
              </w:rPr>
            </w:pPr>
            <w:r w:rsidRPr="00506F58">
              <w:rPr>
                <w:rFonts w:ascii="Arial" w:hAnsi="Arial" w:cs="Arial"/>
                <w:b/>
                <w:sz w:val="20"/>
              </w:rPr>
              <w:t>Inhalación</w:t>
            </w:r>
            <w:r w:rsidRPr="00506F58">
              <w:rPr>
                <w:rFonts w:ascii="Arial" w:hAnsi="Arial" w:cs="Arial"/>
                <w:sz w:val="20"/>
              </w:rPr>
              <w:t xml:space="preserve">: Causa lesiones directas sobre el tabique nasal o en la mucosa nasal, tráquea, bronquios y pulmones. La inhalación de sustancias químicas facilita un rápido ingreso de éstas al torrente sanguíneo. Es la vía más urgente por proteger ya que con el aire que se respira puede ingresar al organismo: polvos, humos, gases, aerosoles, entre otros.  </w:t>
            </w:r>
          </w:p>
          <w:p w:rsidR="00CA7085" w:rsidRPr="00506F58" w:rsidRDefault="00CA7085">
            <w:pPr>
              <w:jc w:val="both"/>
              <w:rPr>
                <w:rFonts w:ascii="Arial" w:hAnsi="Arial" w:cs="Arial"/>
                <w:sz w:val="20"/>
              </w:rPr>
            </w:pPr>
          </w:p>
          <w:p w:rsidR="00CA7085" w:rsidRPr="00506F58" w:rsidRDefault="00C402B7" w:rsidP="009218CF">
            <w:pPr>
              <w:jc w:val="both"/>
              <w:rPr>
                <w:rFonts w:ascii="Arial" w:hAnsi="Arial" w:cs="Arial"/>
                <w:sz w:val="20"/>
              </w:rPr>
            </w:pPr>
            <w:r w:rsidRPr="00506F58">
              <w:rPr>
                <w:rFonts w:ascii="Arial" w:hAnsi="Arial" w:cs="Arial"/>
                <w:b/>
                <w:sz w:val="20"/>
              </w:rPr>
              <w:t>Ingestión:</w:t>
            </w:r>
            <w:r w:rsidRPr="00506F58">
              <w:rPr>
                <w:rFonts w:ascii="Arial" w:hAnsi="Arial" w:cs="Arial"/>
                <w:sz w:val="20"/>
              </w:rPr>
              <w:t xml:space="preserve"> Agua, alimentos, manos y objetos contaminados son llevados a la boca y suelen ser una vía frecuente de intoxicación o de contaminación. Laboralmente es una vía de ingreso debida a las inadecuadas prácticas de higiene laboral.  </w:t>
            </w:r>
          </w:p>
          <w:p w:rsidR="00CA7085" w:rsidRPr="00506F58" w:rsidRDefault="00CA7085">
            <w:pPr>
              <w:jc w:val="both"/>
              <w:rPr>
                <w:rFonts w:ascii="Arial" w:hAnsi="Arial" w:cs="Arial"/>
                <w:sz w:val="20"/>
              </w:rPr>
            </w:pPr>
          </w:p>
          <w:p w:rsidR="00CA7085" w:rsidRPr="00506F58" w:rsidRDefault="00C402B7" w:rsidP="009218CF">
            <w:pPr>
              <w:jc w:val="both"/>
              <w:rPr>
                <w:rFonts w:ascii="Arial" w:hAnsi="Arial" w:cs="Arial"/>
                <w:sz w:val="20"/>
              </w:rPr>
            </w:pPr>
            <w:r w:rsidRPr="00506F58">
              <w:rPr>
                <w:rFonts w:ascii="Arial" w:hAnsi="Arial" w:cs="Arial"/>
                <w:sz w:val="20"/>
              </w:rPr>
              <w:t>Se mencionan los factores que intervienen en el desarrollo de una enfermedad por exposición a sustancias químicas: 1. Peligros asociados con la sustancia 2. Concentración en el ambiente 3. Duración y frecuencia de la exposición 4. Condiciones anatómicas y funcionales de la persona 5. Hábitos personales.</w:t>
            </w:r>
          </w:p>
          <w:p w:rsidR="00CA7085" w:rsidRPr="00506F58" w:rsidRDefault="00CA7085">
            <w:pPr>
              <w:jc w:val="both"/>
              <w:rPr>
                <w:rFonts w:ascii="Arial" w:hAnsi="Arial" w:cs="Arial"/>
                <w:sz w:val="20"/>
              </w:rPr>
            </w:pPr>
          </w:p>
          <w:p w:rsidR="00CA7085" w:rsidRPr="00506F58" w:rsidRDefault="00C402B7" w:rsidP="009218CF">
            <w:pPr>
              <w:jc w:val="both"/>
              <w:rPr>
                <w:rFonts w:ascii="Arial" w:hAnsi="Arial" w:cs="Arial"/>
                <w:sz w:val="20"/>
              </w:rPr>
            </w:pPr>
            <w:r w:rsidRPr="00506F58">
              <w:rPr>
                <w:rFonts w:ascii="Arial" w:hAnsi="Arial" w:cs="Arial"/>
                <w:sz w:val="20"/>
              </w:rPr>
              <w:t xml:space="preserve">Se identifican las enfermedades que se pueden presentar debido a la exposición a componentes químicos como el plomo, benceno, mercurio, asbesto, arsénico, entre otros;  según las ocupaciones y actividades económicas en las cuales se desempeñan los trabajadores del sector informal. </w:t>
            </w:r>
          </w:p>
          <w:p w:rsidR="00CA7085" w:rsidRPr="00506F58" w:rsidRDefault="00CA7085">
            <w:pPr>
              <w:jc w:val="both"/>
              <w:rPr>
                <w:rFonts w:ascii="Arial" w:hAnsi="Arial" w:cs="Arial"/>
                <w:sz w:val="20"/>
              </w:rPr>
            </w:pPr>
          </w:p>
          <w:p w:rsidR="00CA7085" w:rsidRPr="00506F58" w:rsidRDefault="00C402B7" w:rsidP="009218CF">
            <w:pPr>
              <w:jc w:val="both"/>
              <w:rPr>
                <w:rFonts w:ascii="Arial" w:hAnsi="Arial" w:cs="Arial"/>
                <w:sz w:val="20"/>
              </w:rPr>
            </w:pPr>
            <w:r w:rsidRPr="00506F58">
              <w:rPr>
                <w:rFonts w:ascii="Arial" w:hAnsi="Arial" w:cs="Arial"/>
                <w:sz w:val="20"/>
              </w:rPr>
              <w:t xml:space="preserve">Por Ultimo el subsistema SIVISTRA aplica un cuestionario que consta de 3 preguntas con el fin de evaluar el </w:t>
            </w:r>
            <w:r w:rsidRPr="00506F58">
              <w:rPr>
                <w:rFonts w:ascii="Arial" w:hAnsi="Arial" w:cs="Arial"/>
                <w:sz w:val="20"/>
              </w:rPr>
              <w:lastRenderedPageBreak/>
              <w:t>conocimiento adquirido por los participantes durante la presentación.</w:t>
            </w:r>
          </w:p>
          <w:p w:rsidR="00710E0B" w:rsidRPr="00506F58" w:rsidRDefault="00710E0B" w:rsidP="009218CF">
            <w:pPr>
              <w:jc w:val="both"/>
              <w:rPr>
                <w:rFonts w:ascii="Arial" w:hAnsi="Arial" w:cs="Arial"/>
                <w:sz w:val="20"/>
              </w:rPr>
            </w:pPr>
          </w:p>
          <w:p w:rsidR="00D71099" w:rsidRPr="00506F58" w:rsidRDefault="00D71099" w:rsidP="00D71099">
            <w:pPr>
              <w:pStyle w:val="Prrafodelista"/>
              <w:numPr>
                <w:ilvl w:val="3"/>
                <w:numId w:val="1"/>
              </w:numPr>
              <w:ind w:left="896"/>
              <w:jc w:val="both"/>
              <w:rPr>
                <w:rFonts w:ascii="Arial" w:hAnsi="Arial" w:cs="Arial"/>
                <w:b/>
                <w:sz w:val="20"/>
              </w:rPr>
            </w:pPr>
            <w:r w:rsidRPr="00506F58">
              <w:rPr>
                <w:rFonts w:ascii="Arial" w:hAnsi="Arial" w:cs="Arial"/>
                <w:b/>
                <w:bCs/>
                <w:sz w:val="20"/>
              </w:rPr>
              <w:t>INTRODUCCIÓN Y SOCIALIZACIÓN DE INDICADORES SISVESO</w:t>
            </w:r>
          </w:p>
          <w:p w:rsidR="00C93047" w:rsidRPr="00506F58" w:rsidRDefault="00C93047" w:rsidP="009218CF">
            <w:pPr>
              <w:jc w:val="both"/>
              <w:rPr>
                <w:rFonts w:ascii="Arial" w:hAnsi="Arial" w:cs="Arial"/>
                <w:sz w:val="20"/>
              </w:rPr>
            </w:pPr>
          </w:p>
          <w:p w:rsidR="00C93047" w:rsidRPr="00506F58" w:rsidRDefault="00C93047" w:rsidP="00D71099">
            <w:pPr>
              <w:jc w:val="both"/>
              <w:rPr>
                <w:rFonts w:ascii="Arial" w:hAnsi="Arial" w:cs="Arial"/>
                <w:sz w:val="20"/>
              </w:rPr>
            </w:pPr>
            <w:r w:rsidRPr="00506F58">
              <w:rPr>
                <w:rFonts w:ascii="Arial" w:hAnsi="Arial" w:cs="Arial"/>
                <w:bCs/>
                <w:sz w:val="20"/>
              </w:rPr>
              <w:t xml:space="preserve">El subsistema SISVESO inicia la intervención donde se socializa el  objetivo a desarrollar desde la  vigilancia en salud pública de la salud oral en Bogotá D.C., mediante la consolidación y mantenimiento de la red de vigilancia para identificar barreras de acceso a los servicios de salud oral, prácticas de auto cuidado, identificar población en riesgo, e identificar determinantes sociales de calidad de vida; que permitan orientar las acciones dirigidas a mejorar la salud oral de la población que habita en la ciudad, como factor crítico de éxito, aportando al fortalecimiento de la Política Publica Distrital de Salud Oral y al </w:t>
            </w:r>
            <w:proofErr w:type="spellStart"/>
            <w:r w:rsidRPr="00506F58">
              <w:rPr>
                <w:rFonts w:ascii="Arial" w:hAnsi="Arial" w:cs="Arial"/>
                <w:bCs/>
                <w:sz w:val="20"/>
              </w:rPr>
              <w:t>ACCVyE</w:t>
            </w:r>
            <w:proofErr w:type="spellEnd"/>
            <w:r w:rsidRPr="00506F58">
              <w:rPr>
                <w:rFonts w:ascii="Arial" w:hAnsi="Arial" w:cs="Arial"/>
                <w:bCs/>
                <w:sz w:val="20"/>
              </w:rPr>
              <w:t xml:space="preserve"> Distrital, impactando los indicadores de morbilidad del subsistema, a continuación se socializan los indicadores de salud oral de la localidad de Usaquén. En la tabla se muestra la Gingivitis, evento bajo vigilancia del SISVESO, observando que representan el mayor porcentaje con relación a los demás eventos en la localidad de Usaquén seguido de la caries </w:t>
            </w:r>
            <w:proofErr w:type="spellStart"/>
            <w:r w:rsidRPr="00506F58">
              <w:rPr>
                <w:rFonts w:ascii="Arial" w:hAnsi="Arial" w:cs="Arial"/>
                <w:bCs/>
                <w:sz w:val="20"/>
              </w:rPr>
              <w:t>cavitacional</w:t>
            </w:r>
            <w:proofErr w:type="spellEnd"/>
            <w:r w:rsidRPr="00506F58">
              <w:rPr>
                <w:rFonts w:ascii="Arial" w:hAnsi="Arial" w:cs="Arial"/>
                <w:bCs/>
                <w:sz w:val="20"/>
              </w:rPr>
              <w:t>, siendo el ciclo vital juventud con el mayor número de notificación.</w:t>
            </w:r>
          </w:p>
          <w:p w:rsidR="00AD03AF" w:rsidRPr="00506F58" w:rsidRDefault="00AD03AF" w:rsidP="00AD03AF">
            <w:pPr>
              <w:jc w:val="both"/>
              <w:rPr>
                <w:rFonts w:ascii="Arial" w:hAnsi="Arial" w:cs="Arial"/>
                <w:color w:val="000000"/>
                <w:sz w:val="20"/>
                <w:shd w:val="clear" w:color="auto" w:fill="FFFFFF"/>
              </w:rPr>
            </w:pPr>
            <w:r w:rsidRPr="00506F58">
              <w:rPr>
                <w:rFonts w:ascii="Arial" w:hAnsi="Arial" w:cs="Arial"/>
                <w:sz w:val="20"/>
              </w:rPr>
              <w:t>La periodontitis es uno de los eventos con menor proporción en la notificación, con el 1,6%(n=79) en el              ciclo vital de adultez y persona mayor teniendo en cuenta que por lo general se tratan de periodontitis moderadas   muy comunes y compatibles con una buena función de la dentición hasta edades avanzadas, caso contrario ocurre con la periodontitis graves que compromete la supervivencia de los dientes.</w:t>
            </w:r>
            <w:r w:rsidRPr="00506F58">
              <w:rPr>
                <w:rFonts w:ascii="Arial" w:hAnsi="Arial" w:cs="Arial"/>
                <w:color w:val="000000"/>
                <w:sz w:val="20"/>
                <w:shd w:val="clear" w:color="auto" w:fill="FFFFFF"/>
              </w:rPr>
              <w:t xml:space="preserve"> La periodontitis no es una consecuencia de la edad, aunque al ser una enfermedad crónica, en ausencia de tratamiento su gravedad aumenta al aumentar la edad del individuo.</w:t>
            </w:r>
          </w:p>
          <w:p w:rsidR="00AD03AF" w:rsidRPr="00506F58" w:rsidRDefault="00AD03AF" w:rsidP="00AD03AF">
            <w:pPr>
              <w:jc w:val="both"/>
              <w:rPr>
                <w:rFonts w:ascii="Arial" w:hAnsi="Arial" w:cs="Arial"/>
                <w:color w:val="000000"/>
                <w:sz w:val="20"/>
                <w:shd w:val="clear" w:color="auto" w:fill="FFFFFF"/>
              </w:rPr>
            </w:pPr>
          </w:p>
          <w:p w:rsidR="00AD03AF" w:rsidRPr="00506F58" w:rsidRDefault="00AD03AF" w:rsidP="00AD03AF">
            <w:pPr>
              <w:jc w:val="both"/>
              <w:rPr>
                <w:rFonts w:ascii="Arial" w:hAnsi="Arial" w:cs="Arial"/>
                <w:sz w:val="20"/>
                <w:lang w:val="es-MX"/>
              </w:rPr>
            </w:pPr>
            <w:r w:rsidRPr="00506F58">
              <w:rPr>
                <w:rFonts w:ascii="Arial" w:hAnsi="Arial" w:cs="Arial"/>
                <w:sz w:val="20"/>
                <w:lang w:val="es-MX"/>
              </w:rPr>
              <w:t xml:space="preserve"> En cuanto a la caries </w:t>
            </w:r>
            <w:proofErr w:type="spellStart"/>
            <w:r w:rsidRPr="00506F58">
              <w:rPr>
                <w:rFonts w:ascii="Arial" w:hAnsi="Arial" w:cs="Arial"/>
                <w:sz w:val="20"/>
                <w:lang w:val="es-MX"/>
              </w:rPr>
              <w:t>cavitacional</w:t>
            </w:r>
            <w:proofErr w:type="spellEnd"/>
            <w:r w:rsidRPr="00506F58">
              <w:rPr>
                <w:rFonts w:ascii="Arial" w:hAnsi="Arial" w:cs="Arial"/>
                <w:sz w:val="20"/>
                <w:lang w:val="es-MX"/>
              </w:rPr>
              <w:t xml:space="preserve"> la mayor notificación la presenta el ciclo vital de adultez, por ser la      población en edad activa laboralmente,  no cuenta con el tiempo para terminar tratamientos odontológicos debido a sus jornadas laborales seguido de adulto mayor juventud en menor proporción infancia, por ser población dependiente.</w:t>
            </w:r>
          </w:p>
          <w:p w:rsidR="00AD03AF" w:rsidRPr="00506F58" w:rsidRDefault="00AD03AF" w:rsidP="00AD03AF">
            <w:pPr>
              <w:jc w:val="both"/>
              <w:rPr>
                <w:rFonts w:ascii="Arial" w:hAnsi="Arial" w:cs="Arial"/>
                <w:sz w:val="20"/>
                <w:lang w:val="es-MX"/>
              </w:rPr>
            </w:pPr>
          </w:p>
          <w:p w:rsidR="00AD03AF" w:rsidRPr="00506F58" w:rsidRDefault="00AD03AF" w:rsidP="00AD03AF">
            <w:pPr>
              <w:jc w:val="both"/>
              <w:rPr>
                <w:rFonts w:ascii="Arial" w:hAnsi="Arial" w:cs="Arial"/>
                <w:sz w:val="20"/>
              </w:rPr>
            </w:pPr>
            <w:r w:rsidRPr="00506F58">
              <w:rPr>
                <w:rFonts w:ascii="Arial" w:hAnsi="Arial" w:cs="Arial"/>
                <w:sz w:val="20"/>
                <w:lang w:val="es-MX"/>
              </w:rPr>
              <w:t xml:space="preserve">La lesión por mancha blanca </w:t>
            </w:r>
            <w:r w:rsidRPr="00506F58">
              <w:rPr>
                <w:rFonts w:ascii="Arial" w:hAnsi="Arial" w:cs="Arial"/>
                <w:sz w:val="20"/>
              </w:rPr>
              <w:t xml:space="preserve">producida por diversos factores como </w:t>
            </w:r>
            <w:proofErr w:type="spellStart"/>
            <w:r w:rsidRPr="00506F58">
              <w:rPr>
                <w:rFonts w:ascii="Arial" w:hAnsi="Arial" w:cs="Arial"/>
                <w:sz w:val="20"/>
              </w:rPr>
              <w:t>fluorosis</w:t>
            </w:r>
            <w:proofErr w:type="spellEnd"/>
            <w:r w:rsidRPr="00506F58">
              <w:rPr>
                <w:rFonts w:ascii="Arial" w:hAnsi="Arial" w:cs="Arial"/>
                <w:sz w:val="20"/>
              </w:rPr>
              <w:t xml:space="preserve"> dental, hipoplasias del esmalte, traumatismos dentales, tratamiento </w:t>
            </w:r>
            <w:proofErr w:type="spellStart"/>
            <w:r w:rsidRPr="00506F58">
              <w:rPr>
                <w:rFonts w:ascii="Arial" w:hAnsi="Arial" w:cs="Arial"/>
                <w:sz w:val="20"/>
              </w:rPr>
              <w:t>ortodóntico</w:t>
            </w:r>
            <w:proofErr w:type="spellEnd"/>
            <w:r w:rsidRPr="00506F58">
              <w:rPr>
                <w:rFonts w:ascii="Arial" w:hAnsi="Arial" w:cs="Arial"/>
                <w:sz w:val="20"/>
              </w:rPr>
              <w:t xml:space="preserve"> y caries incipiente presentó una proporción muy homogénea para los ciclos vitales Adultez, Juventud e infancia. </w:t>
            </w:r>
          </w:p>
          <w:p w:rsidR="00AD03AF" w:rsidRPr="00506F58" w:rsidRDefault="00AD03AF" w:rsidP="00AD03AF">
            <w:pPr>
              <w:jc w:val="both"/>
              <w:rPr>
                <w:rFonts w:ascii="Arial" w:hAnsi="Arial" w:cs="Arial"/>
                <w:sz w:val="20"/>
              </w:rPr>
            </w:pPr>
          </w:p>
          <w:p w:rsidR="00AD03AF" w:rsidRPr="00506F58" w:rsidRDefault="00AD03AF" w:rsidP="00AD03AF">
            <w:pPr>
              <w:jc w:val="both"/>
              <w:rPr>
                <w:rFonts w:ascii="Arial" w:hAnsi="Arial" w:cs="Arial"/>
                <w:sz w:val="20"/>
              </w:rPr>
            </w:pPr>
            <w:r w:rsidRPr="00506F58">
              <w:rPr>
                <w:rFonts w:ascii="Arial" w:hAnsi="Arial" w:cs="Arial"/>
                <w:sz w:val="20"/>
              </w:rPr>
              <w:t>La lesión por mancha café presenta una menor incidencia que la mancha blanca con el 7,3%(n=373), y se observa con mayor frecuencia en el ciclo vital infancia.</w:t>
            </w:r>
          </w:p>
          <w:p w:rsidR="00AD03AF" w:rsidRPr="00506F58" w:rsidRDefault="00AD03AF" w:rsidP="00AD03AF">
            <w:pPr>
              <w:jc w:val="both"/>
              <w:rPr>
                <w:rFonts w:ascii="Arial" w:hAnsi="Arial" w:cs="Arial"/>
                <w:sz w:val="20"/>
              </w:rPr>
            </w:pPr>
          </w:p>
          <w:p w:rsidR="00AD03AF" w:rsidRPr="00506F58" w:rsidRDefault="00AD03AF" w:rsidP="00AD03AF">
            <w:pPr>
              <w:jc w:val="both"/>
              <w:rPr>
                <w:rFonts w:ascii="Arial" w:hAnsi="Arial" w:cs="Arial"/>
                <w:sz w:val="20"/>
              </w:rPr>
            </w:pPr>
            <w:r w:rsidRPr="00506F58">
              <w:rPr>
                <w:rFonts w:ascii="Arial" w:hAnsi="Arial" w:cs="Arial"/>
                <w:color w:val="000000"/>
                <w:sz w:val="20"/>
                <w:shd w:val="clear" w:color="auto" w:fill="FFFFFF"/>
              </w:rPr>
              <w:t xml:space="preserve"> Dentro de los seis eventos bajo vigilancia del SISVESO se encuentra la </w:t>
            </w:r>
            <w:proofErr w:type="spellStart"/>
            <w:r w:rsidRPr="00506F58">
              <w:rPr>
                <w:rFonts w:ascii="Arial" w:hAnsi="Arial" w:cs="Arial"/>
                <w:color w:val="000000"/>
                <w:sz w:val="20"/>
                <w:shd w:val="clear" w:color="auto" w:fill="FFFFFF"/>
              </w:rPr>
              <w:t>fluorosis</w:t>
            </w:r>
            <w:proofErr w:type="spellEnd"/>
            <w:r w:rsidRPr="00506F58">
              <w:rPr>
                <w:rFonts w:ascii="Arial" w:hAnsi="Arial" w:cs="Arial"/>
                <w:color w:val="000000"/>
                <w:sz w:val="20"/>
                <w:shd w:val="clear" w:color="auto" w:fill="FFFFFF"/>
              </w:rPr>
              <w:t xml:space="preserve"> dental siendo una condición irreversible causada por la ingestión excesiva de fluoruro durante la formación del diente, generalmente desde que se nace hasta que se cumplen 6-8 años. En la localidad de Suba su proporción es de </w:t>
            </w:r>
            <w:r w:rsidRPr="00506F58">
              <w:rPr>
                <w:rFonts w:ascii="Arial" w:hAnsi="Arial" w:cs="Arial"/>
                <w:sz w:val="20"/>
              </w:rPr>
              <w:t>6,0%(n=305), y se observa en todos los ciclos vitales.</w:t>
            </w:r>
          </w:p>
          <w:p w:rsidR="00AD03AF" w:rsidRPr="00506F58" w:rsidRDefault="00AD03AF" w:rsidP="00AD03AF">
            <w:pPr>
              <w:jc w:val="both"/>
              <w:rPr>
                <w:rFonts w:ascii="Arial" w:hAnsi="Arial" w:cs="Arial"/>
                <w:sz w:val="20"/>
              </w:rPr>
            </w:pPr>
          </w:p>
          <w:p w:rsidR="00AD03AF" w:rsidRPr="00506F58" w:rsidRDefault="00AD03AF" w:rsidP="00AD03AF">
            <w:pPr>
              <w:jc w:val="both"/>
              <w:rPr>
                <w:rFonts w:ascii="Arial" w:hAnsi="Arial" w:cs="Arial"/>
                <w:sz w:val="20"/>
              </w:rPr>
            </w:pPr>
          </w:p>
          <w:p w:rsidR="00B43DA9" w:rsidRPr="00506F58" w:rsidRDefault="00B43DA9" w:rsidP="00C93047">
            <w:pPr>
              <w:pStyle w:val="Prrafodelista"/>
              <w:jc w:val="both"/>
              <w:rPr>
                <w:rFonts w:ascii="Arial" w:hAnsi="Arial" w:cs="Arial"/>
                <w:bCs/>
                <w:sz w:val="20"/>
              </w:rPr>
            </w:pPr>
          </w:p>
          <w:p w:rsidR="00D71099" w:rsidRPr="00506F58" w:rsidRDefault="00D71099" w:rsidP="00710E0B">
            <w:pPr>
              <w:pStyle w:val="Prrafodelista"/>
              <w:numPr>
                <w:ilvl w:val="3"/>
                <w:numId w:val="1"/>
              </w:numPr>
              <w:ind w:left="896"/>
              <w:jc w:val="both"/>
              <w:rPr>
                <w:rFonts w:ascii="Arial" w:hAnsi="Arial" w:cs="Arial"/>
                <w:b/>
                <w:bCs/>
                <w:sz w:val="20"/>
              </w:rPr>
            </w:pPr>
            <w:r w:rsidRPr="00506F58">
              <w:rPr>
                <w:rFonts w:ascii="Arial" w:hAnsi="Arial" w:cs="Arial"/>
                <w:b/>
                <w:bCs/>
                <w:sz w:val="20"/>
              </w:rPr>
              <w:t xml:space="preserve"> </w:t>
            </w:r>
            <w:r w:rsidRPr="00506F58">
              <w:rPr>
                <w:rFonts w:ascii="Arial" w:hAnsi="Arial" w:cs="Arial"/>
                <w:b/>
                <w:color w:val="000000" w:themeColor="text1"/>
                <w:sz w:val="20"/>
              </w:rPr>
              <w:t>UNIDAD DE ANÁLISIS SIVISTRA – SISVESO</w:t>
            </w:r>
          </w:p>
          <w:p w:rsidR="00D71099" w:rsidRPr="00506F58" w:rsidRDefault="00D71099" w:rsidP="00D71099">
            <w:pPr>
              <w:suppressAutoHyphens/>
              <w:spacing w:after="200" w:line="360" w:lineRule="auto"/>
              <w:jc w:val="both"/>
              <w:rPr>
                <w:rFonts w:ascii="Arial" w:hAnsi="Arial" w:cs="Arial"/>
                <w:color w:val="000000" w:themeColor="text1"/>
                <w:sz w:val="20"/>
              </w:rPr>
            </w:pPr>
          </w:p>
          <w:p w:rsidR="00D71099" w:rsidRPr="00506F58" w:rsidRDefault="00732EA1" w:rsidP="00D71099">
            <w:pPr>
              <w:suppressAutoHyphens/>
              <w:spacing w:after="200" w:line="360" w:lineRule="auto"/>
              <w:jc w:val="both"/>
              <w:rPr>
                <w:rFonts w:ascii="Arial" w:hAnsi="Arial" w:cs="Arial"/>
                <w:bCs/>
                <w:sz w:val="20"/>
              </w:rPr>
            </w:pPr>
            <w:r w:rsidRPr="00506F58">
              <w:rPr>
                <w:rFonts w:ascii="Arial" w:hAnsi="Arial" w:cs="Arial"/>
                <w:sz w:val="20"/>
              </w:rPr>
              <w:t xml:space="preserve">A continuación se ilustra por medio magnético el  cómo influye  la salud oral   en todo el sistema general de la población, por lo cual se socializa un  caso de presunta negligencia con  alerta por presentar patologías de interés en salud oral, donde se realiza un análisis retrospectivo evidenciando  las variables más importantes como riesgo </w:t>
            </w:r>
            <w:r w:rsidRPr="00506F58">
              <w:rPr>
                <w:rFonts w:ascii="Arial" w:hAnsi="Arial" w:cs="Arial"/>
                <w:sz w:val="20"/>
              </w:rPr>
              <w:lastRenderedPageBreak/>
              <w:t>psicosocial, demoras en la atención rutas de salud, como influyo la nutrición en este paciente y porque este niño llega al  deterioro de salud oral, vulnerando sus derechos; por lo cual se socializan  las rutas de salud y c</w:t>
            </w:r>
            <w:r w:rsidRPr="00506F58">
              <w:rPr>
                <w:rFonts w:ascii="Arial" w:hAnsi="Arial" w:cs="Arial"/>
                <w:sz w:val="20"/>
                <w:shd w:val="clear" w:color="auto" w:fill="FFFFFF"/>
              </w:rPr>
              <w:t>ontinuar con el posicionamiento del SISVESO logrando una notificación con calidad y oportunidad, manteniendo actualizado los análisis de situación de calidad de vida y salud de la población a nivel local  como</w:t>
            </w:r>
            <w:r w:rsidRPr="00506F58">
              <w:rPr>
                <w:rFonts w:ascii="Arial" w:hAnsi="Arial" w:cs="Arial"/>
                <w:b/>
                <w:sz w:val="20"/>
                <w:shd w:val="clear" w:color="auto" w:fill="FFFFFF"/>
              </w:rPr>
              <w:t xml:space="preserve"> </w:t>
            </w:r>
            <w:r w:rsidRPr="00506F58">
              <w:rPr>
                <w:rFonts w:ascii="Arial" w:hAnsi="Arial" w:cs="Arial"/>
                <w:sz w:val="20"/>
                <w:shd w:val="clear" w:color="auto" w:fill="FFFFFF"/>
              </w:rPr>
              <w:t>insumo Distrital para la planeación, monitoreo y evaluación de planes, programas y proyectos.</w:t>
            </w:r>
          </w:p>
          <w:p w:rsidR="0042204B" w:rsidRPr="00506F58" w:rsidRDefault="00732EA1" w:rsidP="000D1F84">
            <w:pPr>
              <w:suppressAutoHyphens/>
              <w:spacing w:after="200" w:line="360" w:lineRule="auto"/>
              <w:jc w:val="both"/>
              <w:rPr>
                <w:rFonts w:ascii="Arial" w:hAnsi="Arial" w:cs="Arial"/>
                <w:color w:val="FF0000"/>
                <w:sz w:val="20"/>
              </w:rPr>
            </w:pPr>
            <w:r w:rsidRPr="00506F58">
              <w:rPr>
                <w:rFonts w:ascii="Arial" w:hAnsi="Arial" w:cs="Arial"/>
                <w:color w:val="222222"/>
                <w:sz w:val="20"/>
                <w:shd w:val="clear" w:color="auto" w:fill="FFFFFF"/>
              </w:rPr>
              <w:t xml:space="preserve">Se realiza unidad de análisis con los participantes donde se hace entrega de </w:t>
            </w:r>
            <w:r w:rsidR="00506844" w:rsidRPr="00506F58">
              <w:rPr>
                <w:rFonts w:ascii="Arial" w:hAnsi="Arial" w:cs="Arial"/>
                <w:color w:val="222222"/>
                <w:sz w:val="20"/>
                <w:shd w:val="clear" w:color="auto" w:fill="FFFFFF"/>
              </w:rPr>
              <w:t>36</w:t>
            </w:r>
            <w:r w:rsidRPr="00506F58">
              <w:rPr>
                <w:rFonts w:ascii="Arial" w:hAnsi="Arial" w:cs="Arial"/>
                <w:color w:val="222222"/>
                <w:sz w:val="20"/>
                <w:shd w:val="clear" w:color="auto" w:fill="FFFFFF"/>
              </w:rPr>
              <w:t xml:space="preserve"> cuestionarios de acuerdo a lo socializado por los subsistemas SIVISTRA y SISVESO, posterior a este se resuelven cada una de las preguntas solicitadas.</w:t>
            </w:r>
          </w:p>
          <w:p w:rsidR="0042204B" w:rsidRPr="00506F58" w:rsidRDefault="00BC6F58" w:rsidP="00710E0B">
            <w:pPr>
              <w:pStyle w:val="Prrafodelista"/>
              <w:numPr>
                <w:ilvl w:val="3"/>
                <w:numId w:val="1"/>
              </w:numPr>
              <w:ind w:left="896" w:hanging="425"/>
              <w:rPr>
                <w:rFonts w:ascii="Arial" w:hAnsi="Arial" w:cs="Arial"/>
                <w:b/>
                <w:color w:val="000000" w:themeColor="text1"/>
                <w:sz w:val="20"/>
              </w:rPr>
            </w:pPr>
            <w:r w:rsidRPr="00506F58">
              <w:rPr>
                <w:rFonts w:ascii="Arial" w:hAnsi="Arial" w:cs="Arial"/>
                <w:b/>
                <w:color w:val="000000" w:themeColor="text1"/>
                <w:sz w:val="20"/>
              </w:rPr>
              <w:t xml:space="preserve">ALERTA </w:t>
            </w:r>
            <w:r w:rsidR="0042204B" w:rsidRPr="00506F58">
              <w:rPr>
                <w:rFonts w:ascii="Arial" w:hAnsi="Arial" w:cs="Arial"/>
                <w:b/>
                <w:color w:val="000000" w:themeColor="text1"/>
                <w:sz w:val="20"/>
              </w:rPr>
              <w:t>SARAMPION – RUBEOLA</w:t>
            </w:r>
          </w:p>
          <w:p w:rsidR="0042204B" w:rsidRPr="00506F58" w:rsidRDefault="0042204B" w:rsidP="0042204B">
            <w:pPr>
              <w:pStyle w:val="Prrafodelista"/>
              <w:rPr>
                <w:rFonts w:ascii="Arial" w:hAnsi="Arial" w:cs="Arial"/>
                <w:b/>
                <w:color w:val="FF0000"/>
                <w:sz w:val="20"/>
              </w:rPr>
            </w:pPr>
          </w:p>
          <w:p w:rsidR="0042204B" w:rsidRPr="00506F58" w:rsidRDefault="00A44E1B" w:rsidP="00AB7C09">
            <w:pPr>
              <w:rPr>
                <w:rFonts w:ascii="Arial" w:eastAsia="MS PGothic" w:hAnsi="Arial" w:cs="Arial"/>
                <w:color w:val="000000" w:themeColor="text1"/>
                <w:kern w:val="24"/>
                <w:sz w:val="20"/>
              </w:rPr>
            </w:pPr>
            <w:r w:rsidRPr="00506F58">
              <w:rPr>
                <w:rFonts w:ascii="Arial" w:hAnsi="Arial" w:cs="Arial"/>
                <w:color w:val="000000" w:themeColor="text1"/>
                <w:sz w:val="20"/>
              </w:rPr>
              <w:t xml:space="preserve">Se </w:t>
            </w:r>
            <w:r w:rsidR="00A175D4" w:rsidRPr="00506F58">
              <w:rPr>
                <w:rFonts w:ascii="Arial" w:hAnsi="Arial" w:cs="Arial"/>
                <w:color w:val="000000" w:themeColor="text1"/>
                <w:sz w:val="20"/>
              </w:rPr>
              <w:t xml:space="preserve">socializa la alerta de sarampión rubeola por parte de la profesional especializado </w:t>
            </w:r>
            <w:proofErr w:type="spellStart"/>
            <w:r w:rsidR="00A175D4" w:rsidRPr="00506F58">
              <w:rPr>
                <w:rFonts w:ascii="Arial" w:hAnsi="Arial" w:cs="Arial"/>
                <w:color w:val="000000" w:themeColor="text1"/>
                <w:sz w:val="20"/>
              </w:rPr>
              <w:t>Heidy</w:t>
            </w:r>
            <w:proofErr w:type="spellEnd"/>
            <w:r w:rsidR="00A175D4" w:rsidRPr="00506F58">
              <w:rPr>
                <w:rFonts w:ascii="Arial" w:hAnsi="Arial" w:cs="Arial"/>
                <w:color w:val="000000" w:themeColor="text1"/>
                <w:sz w:val="20"/>
              </w:rPr>
              <w:t xml:space="preserve"> Hernández ya que nivel central está en  contingencia por el brote que se está presentando en Venezuela y ya que se está desplazando tanta población hacia nuestro país es necesario buscar medios de controlar o mitigar el brote de sarampión y rubeola. Se explica que teniendo en cuenta que l</w:t>
            </w:r>
            <w:r w:rsidR="0042204B" w:rsidRPr="00506F58">
              <w:rPr>
                <w:rFonts w:ascii="Arial" w:eastAsia="MS PGothic" w:hAnsi="Arial" w:cs="Arial"/>
                <w:color w:val="000000" w:themeColor="text1"/>
                <w:kern w:val="24"/>
                <w:sz w:val="20"/>
              </w:rPr>
              <w:t xml:space="preserve">a región de las Américas fue la primera en ser declarada por un Comité Internacional de Expertos (CIE) como libre de los virus de la rubéola en 2015 y sarampión en 2016. </w:t>
            </w:r>
            <w:r w:rsidR="0042204B" w:rsidRPr="00506F58">
              <w:rPr>
                <w:rFonts w:ascii="Arial" w:eastAsia="MS PGothic" w:hAnsi="Arial" w:cs="Arial"/>
                <w:color w:val="000000" w:themeColor="text1"/>
                <w:kern w:val="24"/>
                <w:sz w:val="20"/>
                <w:lang w:val="es-ES"/>
              </w:rPr>
              <w:t>Todos los casos confirmados en la Región de las Américas fueron importados de otros c</w:t>
            </w:r>
            <w:r w:rsidR="00AB7C09" w:rsidRPr="00506F58">
              <w:rPr>
                <w:rFonts w:ascii="Arial" w:eastAsia="MS PGothic" w:hAnsi="Arial" w:cs="Arial"/>
                <w:color w:val="000000" w:themeColor="text1"/>
                <w:kern w:val="24"/>
                <w:sz w:val="20"/>
                <w:lang w:val="es-ES"/>
              </w:rPr>
              <w:t>ontinentes debemos implementar la vigilancia intensificada del evento.</w:t>
            </w:r>
          </w:p>
          <w:p w:rsidR="0042204B" w:rsidRPr="00506F58" w:rsidRDefault="0042204B" w:rsidP="0042204B">
            <w:pPr>
              <w:pStyle w:val="NormalWeb"/>
              <w:spacing w:beforeAutospacing="0" w:afterAutospacing="0"/>
              <w:jc w:val="both"/>
              <w:textAlignment w:val="baseline"/>
              <w:rPr>
                <w:rFonts w:ascii="Arial" w:hAnsi="Arial" w:cs="Arial"/>
                <w:color w:val="000000" w:themeColor="text1"/>
                <w:sz w:val="20"/>
                <w:szCs w:val="20"/>
              </w:rPr>
            </w:pPr>
            <w:r w:rsidRPr="00506F58">
              <w:rPr>
                <w:rFonts w:ascii="Arial" w:eastAsia="MS PGothic" w:hAnsi="Arial" w:cs="Arial"/>
                <w:color w:val="000000" w:themeColor="text1"/>
                <w:kern w:val="24"/>
                <w:sz w:val="20"/>
                <w:szCs w:val="20"/>
              </w:rPr>
              <w:t xml:space="preserve">Desde enero de 2017 y hasta enero de 2018, seis países de la Región de las Américas notificaron casos confirmados de sarampión: </w:t>
            </w:r>
          </w:p>
          <w:p w:rsidR="0042204B" w:rsidRPr="00506F58" w:rsidRDefault="0042204B" w:rsidP="0042204B">
            <w:pPr>
              <w:pStyle w:val="NormalWeb"/>
              <w:spacing w:beforeAutospacing="0" w:afterAutospacing="0"/>
              <w:jc w:val="both"/>
              <w:textAlignment w:val="baseline"/>
              <w:rPr>
                <w:rFonts w:ascii="Arial" w:hAnsi="Arial" w:cs="Arial"/>
                <w:color w:val="000000" w:themeColor="text1"/>
                <w:sz w:val="20"/>
                <w:szCs w:val="20"/>
              </w:rPr>
            </w:pPr>
            <w:r w:rsidRPr="00506F58">
              <w:rPr>
                <w:rFonts w:ascii="Arial" w:eastAsia="MS PGothic" w:hAnsi="Arial" w:cs="Arial"/>
                <w:color w:val="000000" w:themeColor="text1"/>
                <w:kern w:val="24"/>
                <w:sz w:val="20"/>
                <w:szCs w:val="20"/>
              </w:rPr>
              <w:t>Antigua y Barbuda: 1 caso</w:t>
            </w:r>
          </w:p>
          <w:p w:rsidR="0042204B" w:rsidRPr="00506F58" w:rsidRDefault="0042204B" w:rsidP="0042204B">
            <w:pPr>
              <w:pStyle w:val="NormalWeb"/>
              <w:spacing w:beforeAutospacing="0" w:afterAutospacing="0"/>
              <w:jc w:val="both"/>
              <w:textAlignment w:val="baseline"/>
              <w:rPr>
                <w:rFonts w:ascii="Arial" w:hAnsi="Arial" w:cs="Arial"/>
                <w:color w:val="000000" w:themeColor="text1"/>
                <w:sz w:val="20"/>
                <w:szCs w:val="20"/>
              </w:rPr>
            </w:pPr>
            <w:r w:rsidRPr="00506F58">
              <w:rPr>
                <w:rFonts w:ascii="Arial" w:eastAsia="MS PGothic" w:hAnsi="Arial" w:cs="Arial"/>
                <w:color w:val="000000" w:themeColor="text1"/>
                <w:kern w:val="24"/>
                <w:sz w:val="20"/>
                <w:szCs w:val="20"/>
              </w:rPr>
              <w:t>Argentina: 3 casos</w:t>
            </w:r>
          </w:p>
          <w:p w:rsidR="0042204B" w:rsidRPr="00506F58" w:rsidRDefault="0042204B" w:rsidP="0042204B">
            <w:pPr>
              <w:pStyle w:val="NormalWeb"/>
              <w:spacing w:beforeAutospacing="0" w:afterAutospacing="0"/>
              <w:jc w:val="both"/>
              <w:textAlignment w:val="baseline"/>
              <w:rPr>
                <w:rFonts w:ascii="Arial" w:hAnsi="Arial" w:cs="Arial"/>
                <w:color w:val="000000" w:themeColor="text1"/>
                <w:sz w:val="20"/>
                <w:szCs w:val="20"/>
              </w:rPr>
            </w:pPr>
            <w:r w:rsidRPr="00506F58">
              <w:rPr>
                <w:rFonts w:ascii="Arial" w:eastAsia="MS PGothic" w:hAnsi="Arial" w:cs="Arial"/>
                <w:color w:val="000000" w:themeColor="text1"/>
                <w:kern w:val="24"/>
                <w:sz w:val="20"/>
                <w:szCs w:val="20"/>
              </w:rPr>
              <w:t>Canadá: 45 casos</w:t>
            </w:r>
          </w:p>
          <w:p w:rsidR="0042204B" w:rsidRPr="00506F58" w:rsidRDefault="0042204B" w:rsidP="0042204B">
            <w:pPr>
              <w:pStyle w:val="NormalWeb"/>
              <w:spacing w:beforeAutospacing="0" w:afterAutospacing="0"/>
              <w:jc w:val="both"/>
              <w:textAlignment w:val="baseline"/>
              <w:rPr>
                <w:rFonts w:ascii="Arial" w:hAnsi="Arial" w:cs="Arial"/>
                <w:color w:val="000000" w:themeColor="text1"/>
                <w:sz w:val="20"/>
                <w:szCs w:val="20"/>
              </w:rPr>
            </w:pPr>
            <w:r w:rsidRPr="00506F58">
              <w:rPr>
                <w:rFonts w:ascii="Arial" w:eastAsia="MS PGothic" w:hAnsi="Arial" w:cs="Arial"/>
                <w:color w:val="000000" w:themeColor="text1"/>
                <w:kern w:val="24"/>
                <w:sz w:val="20"/>
                <w:szCs w:val="20"/>
              </w:rPr>
              <w:t>Guatemala: 1 caso</w:t>
            </w:r>
          </w:p>
          <w:p w:rsidR="0042204B" w:rsidRPr="00506F58" w:rsidRDefault="0042204B" w:rsidP="0042204B">
            <w:pPr>
              <w:pStyle w:val="NormalWeb"/>
              <w:spacing w:beforeAutospacing="0" w:afterAutospacing="0"/>
              <w:jc w:val="both"/>
              <w:textAlignment w:val="baseline"/>
              <w:rPr>
                <w:rFonts w:ascii="Arial" w:hAnsi="Arial" w:cs="Arial"/>
                <w:color w:val="000000" w:themeColor="text1"/>
                <w:sz w:val="20"/>
                <w:szCs w:val="20"/>
              </w:rPr>
            </w:pPr>
            <w:r w:rsidRPr="00506F58">
              <w:rPr>
                <w:rFonts w:ascii="Arial" w:eastAsia="MS PGothic" w:hAnsi="Arial" w:cs="Arial"/>
                <w:color w:val="000000" w:themeColor="text1"/>
                <w:kern w:val="24"/>
                <w:sz w:val="20"/>
                <w:szCs w:val="20"/>
              </w:rPr>
              <w:t xml:space="preserve">Estados Unidos: 120 casos </w:t>
            </w:r>
          </w:p>
          <w:p w:rsidR="00AB7C09" w:rsidRPr="00506F58" w:rsidRDefault="0042204B" w:rsidP="00AB7C09">
            <w:pPr>
              <w:pStyle w:val="NormalWeb"/>
              <w:spacing w:beforeAutospacing="0" w:afterAutospacing="0"/>
              <w:jc w:val="both"/>
              <w:textAlignment w:val="baseline"/>
              <w:rPr>
                <w:rFonts w:ascii="Arial" w:eastAsia="MS PGothic" w:hAnsi="Arial" w:cs="Arial"/>
                <w:color w:val="000000" w:themeColor="text1"/>
                <w:kern w:val="24"/>
                <w:sz w:val="20"/>
                <w:szCs w:val="20"/>
              </w:rPr>
            </w:pPr>
            <w:r w:rsidRPr="00506F58">
              <w:rPr>
                <w:rFonts w:ascii="Arial" w:eastAsia="MS PGothic" w:hAnsi="Arial" w:cs="Arial"/>
                <w:color w:val="000000" w:themeColor="text1"/>
                <w:kern w:val="24"/>
                <w:sz w:val="20"/>
                <w:szCs w:val="20"/>
              </w:rPr>
              <w:t>Venezue</w:t>
            </w:r>
            <w:r w:rsidR="00AB7C09" w:rsidRPr="00506F58">
              <w:rPr>
                <w:rFonts w:ascii="Arial" w:eastAsia="MS PGothic" w:hAnsi="Arial" w:cs="Arial"/>
                <w:color w:val="000000" w:themeColor="text1"/>
                <w:kern w:val="24"/>
                <w:sz w:val="20"/>
                <w:szCs w:val="20"/>
              </w:rPr>
              <w:t xml:space="preserve">la: 952 </w:t>
            </w:r>
          </w:p>
          <w:p w:rsidR="0042204B" w:rsidRPr="00506F58" w:rsidRDefault="00AB7C09" w:rsidP="00AB7C09">
            <w:pPr>
              <w:pStyle w:val="NormalWeb"/>
              <w:spacing w:beforeAutospacing="0" w:afterAutospacing="0"/>
              <w:jc w:val="both"/>
              <w:textAlignment w:val="baseline"/>
              <w:rPr>
                <w:rFonts w:ascii="Arial" w:hAnsi="Arial" w:cs="Arial"/>
                <w:color w:val="000000" w:themeColor="text1"/>
                <w:sz w:val="20"/>
                <w:szCs w:val="20"/>
              </w:rPr>
            </w:pPr>
            <w:r w:rsidRPr="00506F58">
              <w:rPr>
                <w:rFonts w:ascii="Arial" w:eastAsia="MS PGothic" w:hAnsi="Arial" w:cs="Arial"/>
                <w:color w:val="000000" w:themeColor="text1"/>
                <w:kern w:val="24"/>
                <w:sz w:val="20"/>
                <w:szCs w:val="20"/>
              </w:rPr>
              <w:t xml:space="preserve">En Colombia en este momento tenemos amenazas como: </w:t>
            </w:r>
            <w:r w:rsidR="0042204B" w:rsidRPr="00506F58">
              <w:rPr>
                <w:rFonts w:ascii="Arial" w:eastAsia="MS PGothic" w:hAnsi="Arial" w:cs="Arial"/>
                <w:color w:val="000000" w:themeColor="text1"/>
                <w:kern w:val="24"/>
                <w:sz w:val="20"/>
                <w:szCs w:val="20"/>
              </w:rPr>
              <w:t>Importación de virus de sarampión y rubéola desde otras regiones del mundo, especialmente desde Venezuela en donde hay un brote activo d</w:t>
            </w:r>
            <w:r w:rsidRPr="00506F58">
              <w:rPr>
                <w:rFonts w:ascii="Arial" w:eastAsia="MS PGothic" w:hAnsi="Arial" w:cs="Arial"/>
                <w:color w:val="000000" w:themeColor="text1"/>
                <w:kern w:val="24"/>
                <w:sz w:val="20"/>
                <w:szCs w:val="20"/>
              </w:rPr>
              <w:t>e sarampión desde junio de 2017, co</w:t>
            </w:r>
            <w:r w:rsidR="0042204B" w:rsidRPr="00506F58">
              <w:rPr>
                <w:rFonts w:ascii="Arial" w:eastAsia="MS PGothic" w:hAnsi="Arial" w:cs="Arial"/>
                <w:color w:val="000000" w:themeColor="text1"/>
                <w:kern w:val="24"/>
                <w:sz w:val="20"/>
                <w:szCs w:val="20"/>
              </w:rPr>
              <w:t xml:space="preserve">berturas de vacunación con </w:t>
            </w:r>
            <w:r w:rsidRPr="00506F58">
              <w:rPr>
                <w:rFonts w:ascii="Arial" w:eastAsia="MS PGothic" w:hAnsi="Arial" w:cs="Arial"/>
                <w:color w:val="000000" w:themeColor="text1"/>
                <w:kern w:val="24"/>
                <w:sz w:val="20"/>
                <w:szCs w:val="20"/>
              </w:rPr>
              <w:t>triple viral por debajo del 95%, d</w:t>
            </w:r>
            <w:r w:rsidR="0042204B" w:rsidRPr="00506F58">
              <w:rPr>
                <w:rFonts w:ascii="Arial" w:eastAsia="MS PGothic" w:hAnsi="Arial" w:cs="Arial"/>
                <w:color w:val="000000" w:themeColor="text1"/>
                <w:kern w:val="24"/>
                <w:sz w:val="20"/>
                <w:szCs w:val="20"/>
              </w:rPr>
              <w:t>isminución en la notificación de casos so</w:t>
            </w:r>
            <w:r w:rsidRPr="00506F58">
              <w:rPr>
                <w:rFonts w:ascii="Arial" w:eastAsia="MS PGothic" w:hAnsi="Arial" w:cs="Arial"/>
                <w:color w:val="000000" w:themeColor="text1"/>
                <w:kern w:val="24"/>
                <w:sz w:val="20"/>
                <w:szCs w:val="20"/>
              </w:rPr>
              <w:t>spechosos de sarampión-rubéola, d</w:t>
            </w:r>
            <w:r w:rsidR="0042204B" w:rsidRPr="00506F58">
              <w:rPr>
                <w:rFonts w:ascii="Arial" w:eastAsia="MS PGothic" w:hAnsi="Arial" w:cs="Arial"/>
                <w:color w:val="000000" w:themeColor="text1"/>
                <w:kern w:val="24"/>
                <w:sz w:val="20"/>
                <w:szCs w:val="20"/>
              </w:rPr>
              <w:t>isminución de la inmunidad en niños &lt; 1 año sin transferencia de anticuerpos maternos y niños &lt; 6 meses que no son elegibles para vacunación.</w:t>
            </w:r>
          </w:p>
          <w:p w:rsidR="0042204B" w:rsidRPr="00506F58" w:rsidRDefault="00AB7C09" w:rsidP="0042204B">
            <w:pPr>
              <w:pStyle w:val="NormalWeb"/>
              <w:spacing w:before="77" w:beforeAutospacing="0" w:afterAutospacing="0"/>
              <w:jc w:val="both"/>
              <w:textAlignment w:val="baseline"/>
              <w:rPr>
                <w:rFonts w:ascii="Arial" w:hAnsi="Arial" w:cs="Arial"/>
                <w:color w:val="000000" w:themeColor="text1"/>
                <w:sz w:val="20"/>
                <w:szCs w:val="20"/>
              </w:rPr>
            </w:pPr>
            <w:r w:rsidRPr="00506F58">
              <w:rPr>
                <w:rFonts w:ascii="Arial" w:hAnsi="Arial" w:cs="Arial"/>
                <w:color w:val="000000" w:themeColor="text1"/>
                <w:sz w:val="20"/>
                <w:szCs w:val="20"/>
              </w:rPr>
              <w:t>Se explica que el sarampión es una e</w:t>
            </w:r>
            <w:r w:rsidR="0042204B" w:rsidRPr="00506F58">
              <w:rPr>
                <w:rFonts w:ascii="Arial" w:eastAsia="MS PGothic" w:hAnsi="Arial" w:cs="Arial"/>
                <w:color w:val="000000" w:themeColor="text1"/>
                <w:kern w:val="24"/>
                <w:sz w:val="20"/>
                <w:szCs w:val="20"/>
              </w:rPr>
              <w:t>nfermedad eruptiva aguda, sumamente contagiosa.  clínicamente se diferencian dos etapas:</w:t>
            </w:r>
          </w:p>
          <w:p w:rsidR="0042204B" w:rsidRPr="00506F58" w:rsidRDefault="0042204B" w:rsidP="00AB7C09">
            <w:pPr>
              <w:pStyle w:val="Prrafodelista"/>
              <w:numPr>
                <w:ilvl w:val="0"/>
                <w:numId w:val="21"/>
              </w:numPr>
              <w:jc w:val="both"/>
              <w:textAlignment w:val="baseline"/>
              <w:rPr>
                <w:rFonts w:ascii="Arial" w:hAnsi="Arial" w:cs="Arial"/>
                <w:color w:val="000000" w:themeColor="text1"/>
                <w:sz w:val="20"/>
              </w:rPr>
            </w:pPr>
            <w:r w:rsidRPr="00506F58">
              <w:rPr>
                <w:rFonts w:ascii="Arial" w:eastAsia="MS PGothic" w:hAnsi="Arial" w:cs="Arial"/>
                <w:color w:val="000000" w:themeColor="text1"/>
                <w:kern w:val="24"/>
                <w:sz w:val="20"/>
              </w:rPr>
              <w:t>Fase prodrómica, pre-exantemática o catarral, se caracteriza por fiebre de 38,5º C a 40,5º C y síntomas de las vías aéreas superiores, tos y coriza (</w:t>
            </w:r>
            <w:proofErr w:type="spellStart"/>
            <w:r w:rsidRPr="00506F58">
              <w:rPr>
                <w:rFonts w:ascii="Arial" w:eastAsia="MS PGothic" w:hAnsi="Arial" w:cs="Arial"/>
                <w:color w:val="000000" w:themeColor="text1"/>
                <w:kern w:val="24"/>
                <w:sz w:val="20"/>
              </w:rPr>
              <w:t>rinorrea</w:t>
            </w:r>
            <w:proofErr w:type="spellEnd"/>
            <w:r w:rsidRPr="00506F58">
              <w:rPr>
                <w:rFonts w:ascii="Arial" w:eastAsia="MS PGothic" w:hAnsi="Arial" w:cs="Arial"/>
                <w:color w:val="000000" w:themeColor="text1"/>
                <w:kern w:val="24"/>
                <w:sz w:val="20"/>
              </w:rPr>
              <w:t xml:space="preserve">), además de una fuerte conjuntivitis; en algunas ocasiones, es posible detectar las llamadas manchas de </w:t>
            </w:r>
            <w:proofErr w:type="spellStart"/>
            <w:r w:rsidRPr="00506F58">
              <w:rPr>
                <w:rFonts w:ascii="Arial" w:eastAsia="MS PGothic" w:hAnsi="Arial" w:cs="Arial"/>
                <w:color w:val="000000" w:themeColor="text1"/>
                <w:kern w:val="24"/>
                <w:sz w:val="20"/>
              </w:rPr>
              <w:t>Koplik</w:t>
            </w:r>
            <w:proofErr w:type="spellEnd"/>
            <w:r w:rsidRPr="00506F58">
              <w:rPr>
                <w:rFonts w:ascii="Arial" w:eastAsia="MS PGothic" w:hAnsi="Arial" w:cs="Arial"/>
                <w:color w:val="000000" w:themeColor="text1"/>
                <w:kern w:val="24"/>
                <w:sz w:val="20"/>
              </w:rPr>
              <w:t>.</w:t>
            </w:r>
          </w:p>
          <w:p w:rsidR="0042204B" w:rsidRPr="00506F58" w:rsidRDefault="0042204B" w:rsidP="00AB7C09">
            <w:pPr>
              <w:pStyle w:val="Prrafodelista"/>
              <w:numPr>
                <w:ilvl w:val="0"/>
                <w:numId w:val="21"/>
              </w:numPr>
              <w:jc w:val="both"/>
              <w:textAlignment w:val="baseline"/>
              <w:rPr>
                <w:rFonts w:ascii="Arial" w:hAnsi="Arial" w:cs="Arial"/>
                <w:color w:val="000000" w:themeColor="text1"/>
                <w:sz w:val="20"/>
              </w:rPr>
            </w:pPr>
            <w:r w:rsidRPr="00506F58">
              <w:rPr>
                <w:rFonts w:ascii="Arial" w:eastAsia="MS PGothic" w:hAnsi="Arial" w:cs="Arial"/>
                <w:color w:val="000000" w:themeColor="text1"/>
                <w:kern w:val="24"/>
                <w:sz w:val="20"/>
              </w:rPr>
              <w:t xml:space="preserve">Fase exantemática o eruptiva, se presenta al tercer o cuarto día después del inicio de la enfermedad y se refiere a una erupción característica con manchas rojas parduscas, que comienzan en la cara y después se generalizan; dura de cuatro a siete días y a veces termina con una descamación fina </w:t>
            </w:r>
          </w:p>
          <w:p w:rsidR="0042204B" w:rsidRPr="00506F58" w:rsidRDefault="00AB7C09" w:rsidP="00AB7C09">
            <w:pPr>
              <w:jc w:val="both"/>
              <w:textAlignment w:val="baseline"/>
              <w:rPr>
                <w:rFonts w:ascii="Arial" w:hAnsi="Arial" w:cs="Arial"/>
                <w:color w:val="000000" w:themeColor="text1"/>
                <w:sz w:val="20"/>
              </w:rPr>
            </w:pPr>
            <w:r w:rsidRPr="00506F58">
              <w:rPr>
                <w:rFonts w:ascii="Arial" w:hAnsi="Arial" w:cs="Arial"/>
                <w:color w:val="000000" w:themeColor="text1"/>
                <w:sz w:val="20"/>
              </w:rPr>
              <w:t>Tiene un modo de transmisión</w:t>
            </w:r>
            <w:r w:rsidR="0042204B" w:rsidRPr="00506F58">
              <w:rPr>
                <w:rFonts w:ascii="Arial" w:eastAsia="MS PGothic" w:hAnsi="Arial" w:cs="Arial"/>
                <w:color w:val="000000" w:themeColor="text1"/>
                <w:kern w:val="24"/>
                <w:sz w:val="20"/>
              </w:rPr>
              <w:t xml:space="preserve"> principalmente por medio de gotitas expulsadas del aparato respiratorio (por ejemplo, al toser o estornudar) o suspendidas en el aire, las cuales entran en contacto con las vías respiratorias superiores o la conjuntiva de una persona susceptible.</w:t>
            </w:r>
          </w:p>
          <w:p w:rsidR="00710E0B" w:rsidRPr="00506F58" w:rsidRDefault="00AB7C09" w:rsidP="007E7F24">
            <w:pPr>
              <w:pStyle w:val="NormalWeb"/>
              <w:spacing w:before="77" w:beforeAutospacing="0" w:afterAutospacing="0"/>
              <w:jc w:val="both"/>
              <w:textAlignment w:val="baseline"/>
              <w:rPr>
                <w:rFonts w:ascii="Arial" w:hAnsi="Arial" w:cs="Arial"/>
                <w:color w:val="FF0000"/>
                <w:sz w:val="20"/>
                <w:szCs w:val="20"/>
              </w:rPr>
            </w:pPr>
            <w:r w:rsidRPr="00506F58">
              <w:rPr>
                <w:rFonts w:ascii="Arial" w:eastAsia="MS PGothic" w:hAnsi="Arial" w:cs="Arial"/>
                <w:color w:val="000000" w:themeColor="text1"/>
                <w:kern w:val="24"/>
                <w:sz w:val="20"/>
                <w:szCs w:val="20"/>
              </w:rPr>
              <w:lastRenderedPageBreak/>
              <w:t xml:space="preserve">Un periodo de incubación </w:t>
            </w:r>
            <w:r w:rsidR="0042204B" w:rsidRPr="00506F58">
              <w:rPr>
                <w:rFonts w:ascii="Arial" w:eastAsia="MS PGothic" w:hAnsi="Arial" w:cs="Arial"/>
                <w:color w:val="000000" w:themeColor="text1"/>
                <w:kern w:val="24"/>
                <w:sz w:val="20"/>
                <w:szCs w:val="20"/>
              </w:rPr>
              <w:t xml:space="preserve">de 7 a 18 días, con un promedio de 14 días desde la exposición </w:t>
            </w:r>
            <w:r w:rsidRPr="00506F58">
              <w:rPr>
                <w:rFonts w:ascii="Arial" w:eastAsia="MS PGothic" w:hAnsi="Arial" w:cs="Arial"/>
                <w:color w:val="000000" w:themeColor="text1"/>
                <w:kern w:val="24"/>
                <w:sz w:val="20"/>
                <w:szCs w:val="20"/>
              </w:rPr>
              <w:t xml:space="preserve">hasta la aparición del exantema y un </w:t>
            </w:r>
            <w:r w:rsidR="0042204B" w:rsidRPr="00506F58">
              <w:rPr>
                <w:rFonts w:ascii="Arial" w:eastAsia="MS PGothic" w:hAnsi="Arial" w:cs="Arial"/>
                <w:color w:val="000000" w:themeColor="text1"/>
                <w:kern w:val="24"/>
                <w:sz w:val="20"/>
                <w:szCs w:val="20"/>
              </w:rPr>
              <w:t>Período de transmisibilidad</w:t>
            </w:r>
            <w:r w:rsidRPr="00506F58">
              <w:rPr>
                <w:rFonts w:ascii="Arial" w:eastAsia="MS PGothic" w:hAnsi="Arial" w:cs="Arial"/>
                <w:color w:val="000000" w:themeColor="text1"/>
                <w:kern w:val="24"/>
                <w:sz w:val="20"/>
                <w:szCs w:val="20"/>
              </w:rPr>
              <w:t xml:space="preserve"> es el</w:t>
            </w:r>
            <w:r w:rsidR="0042204B" w:rsidRPr="00506F58">
              <w:rPr>
                <w:rFonts w:ascii="Arial" w:eastAsia="MS PGothic" w:hAnsi="Arial" w:cs="Arial"/>
                <w:color w:val="000000" w:themeColor="text1"/>
                <w:kern w:val="24"/>
                <w:sz w:val="20"/>
                <w:szCs w:val="20"/>
              </w:rPr>
              <w:t xml:space="preserve"> riesgo de contagio es mayor entre uno y tres días antes del inicio de la fiebre y la tos o cuatro días antes del comienzo del exantema. La transmisibilidad disminuye rápidamente luego del inicio del exantema hasta los cuatro a cinco días siguientes.</w:t>
            </w:r>
            <w:r w:rsidR="0042204B" w:rsidRPr="00506F58">
              <w:rPr>
                <w:rFonts w:ascii="Arial" w:hAnsi="Arial" w:cs="Arial"/>
                <w:color w:val="FF0000"/>
                <w:sz w:val="20"/>
                <w:szCs w:val="20"/>
              </w:rPr>
              <w:t xml:space="preserve">    </w:t>
            </w:r>
          </w:p>
          <w:p w:rsidR="00710E0B" w:rsidRPr="00506F58" w:rsidRDefault="00710E0B" w:rsidP="0042204B">
            <w:pPr>
              <w:kinsoku w:val="0"/>
              <w:overflowPunct w:val="0"/>
              <w:jc w:val="both"/>
              <w:textAlignment w:val="baseline"/>
              <w:rPr>
                <w:rFonts w:ascii="Arial" w:hAnsi="Arial" w:cs="Arial"/>
                <w:color w:val="FF0000"/>
                <w:sz w:val="20"/>
              </w:rPr>
            </w:pPr>
          </w:p>
          <w:p w:rsidR="0042204B" w:rsidRPr="00506F58" w:rsidRDefault="00AB7C09" w:rsidP="0042204B">
            <w:pPr>
              <w:kinsoku w:val="0"/>
              <w:overflowPunct w:val="0"/>
              <w:jc w:val="both"/>
              <w:textAlignment w:val="baseline"/>
              <w:rPr>
                <w:rFonts w:ascii="Arial" w:hAnsi="Arial" w:cs="Arial"/>
                <w:color w:val="000000" w:themeColor="text1"/>
                <w:sz w:val="20"/>
              </w:rPr>
            </w:pPr>
            <w:r w:rsidRPr="00506F58">
              <w:rPr>
                <w:rFonts w:ascii="Arial" w:hAnsi="Arial" w:cs="Arial"/>
                <w:color w:val="000000" w:themeColor="text1"/>
                <w:sz w:val="20"/>
              </w:rPr>
              <w:t>Las definiciones de caso son las siguientes:</w:t>
            </w:r>
          </w:p>
          <w:p w:rsidR="0042204B" w:rsidRPr="00506F58" w:rsidRDefault="0042204B" w:rsidP="0042204B">
            <w:pPr>
              <w:pStyle w:val="NormalWeb"/>
              <w:spacing w:before="96" w:beforeAutospacing="0" w:afterAutospacing="0"/>
              <w:jc w:val="both"/>
              <w:textAlignment w:val="baseline"/>
              <w:rPr>
                <w:rFonts w:ascii="Arial" w:hAnsi="Arial" w:cs="Arial"/>
                <w:color w:val="000000" w:themeColor="text1"/>
                <w:sz w:val="20"/>
                <w:szCs w:val="20"/>
              </w:rPr>
            </w:pPr>
            <w:r w:rsidRPr="00506F58">
              <w:rPr>
                <w:rFonts w:ascii="Arial" w:hAnsi="Arial" w:cs="Arial"/>
                <w:b/>
                <w:color w:val="000000" w:themeColor="text1"/>
                <w:sz w:val="20"/>
                <w:szCs w:val="20"/>
              </w:rPr>
              <w:t>Caso Sospechoso:</w:t>
            </w:r>
            <w:r w:rsidRPr="00506F58">
              <w:rPr>
                <w:rFonts w:ascii="Arial" w:eastAsia="MS PGothic" w:hAnsi="Arial" w:cs="Arial"/>
                <w:color w:val="000000" w:themeColor="text1"/>
                <w:kern w:val="24"/>
                <w:sz w:val="20"/>
                <w:szCs w:val="20"/>
              </w:rPr>
              <w:t xml:space="preserve"> Todo caso con enfermedad febril eruptiva con uno o </w:t>
            </w:r>
            <w:r w:rsidR="00AB7C09" w:rsidRPr="00506F58">
              <w:rPr>
                <w:rFonts w:ascii="Arial" w:eastAsia="MS PGothic" w:hAnsi="Arial" w:cs="Arial"/>
                <w:color w:val="000000" w:themeColor="text1"/>
                <w:kern w:val="24"/>
                <w:sz w:val="20"/>
                <w:szCs w:val="20"/>
              </w:rPr>
              <w:t>más</w:t>
            </w:r>
            <w:r w:rsidRPr="00506F58">
              <w:rPr>
                <w:rFonts w:ascii="Arial" w:eastAsia="MS PGothic" w:hAnsi="Arial" w:cs="Arial"/>
                <w:color w:val="000000" w:themeColor="text1"/>
                <w:kern w:val="24"/>
                <w:sz w:val="20"/>
                <w:szCs w:val="20"/>
              </w:rPr>
              <w:t xml:space="preserve"> de los siguientes síntomas o signos:</w:t>
            </w:r>
          </w:p>
          <w:p w:rsidR="0042204B" w:rsidRPr="00506F58" w:rsidRDefault="00AB7C09" w:rsidP="00AB7C09">
            <w:pPr>
              <w:pStyle w:val="Prrafodelista"/>
              <w:numPr>
                <w:ilvl w:val="0"/>
                <w:numId w:val="22"/>
              </w:numPr>
              <w:jc w:val="both"/>
              <w:textAlignment w:val="baseline"/>
              <w:rPr>
                <w:rFonts w:ascii="Arial" w:hAnsi="Arial" w:cs="Arial"/>
                <w:color w:val="000000" w:themeColor="text1"/>
                <w:sz w:val="20"/>
              </w:rPr>
            </w:pPr>
            <w:r w:rsidRPr="00506F58">
              <w:rPr>
                <w:rFonts w:ascii="Arial" w:eastAsia="MS PGothic" w:hAnsi="Arial" w:cs="Arial"/>
                <w:color w:val="000000" w:themeColor="text1"/>
                <w:kern w:val="24"/>
                <w:sz w:val="20"/>
              </w:rPr>
              <w:t xml:space="preserve">Tos, </w:t>
            </w:r>
          </w:p>
          <w:p w:rsidR="0042204B" w:rsidRPr="00506F58" w:rsidRDefault="00AB7C09" w:rsidP="00AB7C09">
            <w:pPr>
              <w:pStyle w:val="Prrafodelista"/>
              <w:numPr>
                <w:ilvl w:val="0"/>
                <w:numId w:val="22"/>
              </w:numPr>
              <w:jc w:val="both"/>
              <w:textAlignment w:val="baseline"/>
              <w:rPr>
                <w:rFonts w:ascii="Arial" w:hAnsi="Arial" w:cs="Arial"/>
                <w:color w:val="000000" w:themeColor="text1"/>
                <w:sz w:val="20"/>
              </w:rPr>
            </w:pPr>
            <w:r w:rsidRPr="00506F58">
              <w:rPr>
                <w:rFonts w:ascii="Arial" w:eastAsia="MS PGothic" w:hAnsi="Arial" w:cs="Arial"/>
                <w:color w:val="000000" w:themeColor="text1"/>
                <w:kern w:val="24"/>
                <w:sz w:val="20"/>
              </w:rPr>
              <w:t xml:space="preserve">Coriza, </w:t>
            </w:r>
          </w:p>
          <w:p w:rsidR="0042204B" w:rsidRPr="00506F58" w:rsidRDefault="00AB7C09" w:rsidP="00AB7C09">
            <w:pPr>
              <w:pStyle w:val="Prrafodelista"/>
              <w:numPr>
                <w:ilvl w:val="0"/>
                <w:numId w:val="22"/>
              </w:numPr>
              <w:jc w:val="both"/>
              <w:textAlignment w:val="baseline"/>
              <w:rPr>
                <w:rFonts w:ascii="Arial" w:hAnsi="Arial" w:cs="Arial"/>
                <w:color w:val="000000" w:themeColor="text1"/>
                <w:sz w:val="20"/>
              </w:rPr>
            </w:pPr>
            <w:r w:rsidRPr="00506F58">
              <w:rPr>
                <w:rFonts w:ascii="Arial" w:eastAsia="MS PGothic" w:hAnsi="Arial" w:cs="Arial"/>
                <w:color w:val="000000" w:themeColor="text1"/>
                <w:kern w:val="24"/>
                <w:sz w:val="20"/>
              </w:rPr>
              <w:t xml:space="preserve">Conjuntivitis, </w:t>
            </w:r>
          </w:p>
          <w:p w:rsidR="0042204B" w:rsidRPr="00506F58" w:rsidRDefault="0042204B" w:rsidP="00AB7C09">
            <w:pPr>
              <w:pStyle w:val="Prrafodelista"/>
              <w:numPr>
                <w:ilvl w:val="0"/>
                <w:numId w:val="22"/>
              </w:numPr>
              <w:jc w:val="both"/>
              <w:textAlignment w:val="baseline"/>
              <w:rPr>
                <w:rFonts w:ascii="Arial" w:hAnsi="Arial" w:cs="Arial"/>
                <w:color w:val="000000" w:themeColor="text1"/>
                <w:sz w:val="20"/>
              </w:rPr>
            </w:pPr>
            <w:r w:rsidRPr="00506F58">
              <w:rPr>
                <w:rFonts w:ascii="Arial" w:eastAsia="MS PGothic" w:hAnsi="Arial" w:cs="Arial"/>
                <w:color w:val="000000" w:themeColor="text1"/>
                <w:kern w:val="24"/>
                <w:sz w:val="20"/>
              </w:rPr>
              <w:t>Inflamación de ganglios linfáticos retro auriculares, cervicales u occipitales y artralgias.</w:t>
            </w:r>
          </w:p>
          <w:p w:rsidR="00DB734D" w:rsidRPr="00506F58" w:rsidRDefault="0042204B" w:rsidP="0042204B">
            <w:pPr>
              <w:pStyle w:val="NormalWeb"/>
              <w:spacing w:before="96" w:beforeAutospacing="0" w:afterAutospacing="0"/>
              <w:jc w:val="both"/>
              <w:textAlignment w:val="baseline"/>
              <w:rPr>
                <w:rFonts w:ascii="Arial" w:eastAsia="MS PGothic" w:hAnsi="Arial" w:cs="Arial"/>
                <w:color w:val="000000" w:themeColor="text1"/>
                <w:kern w:val="24"/>
                <w:sz w:val="20"/>
                <w:szCs w:val="20"/>
              </w:rPr>
            </w:pPr>
            <w:r w:rsidRPr="00506F58">
              <w:rPr>
                <w:rFonts w:ascii="Arial" w:eastAsia="MS PGothic" w:hAnsi="Arial" w:cs="Arial"/>
                <w:b/>
                <w:color w:val="000000" w:themeColor="text1"/>
                <w:kern w:val="24"/>
                <w:sz w:val="20"/>
                <w:szCs w:val="20"/>
              </w:rPr>
              <w:t>Caso confirmado por laboratorio:</w:t>
            </w:r>
            <w:r w:rsidRPr="00506F58">
              <w:rPr>
                <w:rFonts w:ascii="Arial" w:eastAsia="MS PGothic" w:hAnsi="Arial" w:cs="Arial"/>
                <w:color w:val="000000" w:themeColor="text1"/>
                <w:kern w:val="24"/>
                <w:sz w:val="20"/>
                <w:szCs w:val="20"/>
              </w:rPr>
              <w:t xml:space="preserve"> Resultado positivo por prueba de </w:t>
            </w:r>
            <w:proofErr w:type="spellStart"/>
            <w:r w:rsidRPr="00506F58">
              <w:rPr>
                <w:rFonts w:ascii="Arial" w:eastAsia="MS PGothic" w:hAnsi="Arial" w:cs="Arial"/>
                <w:color w:val="000000" w:themeColor="text1"/>
                <w:kern w:val="24"/>
                <w:sz w:val="20"/>
                <w:szCs w:val="20"/>
              </w:rPr>
              <w:t>IgM</w:t>
            </w:r>
            <w:proofErr w:type="spellEnd"/>
            <w:r w:rsidRPr="00506F58">
              <w:rPr>
                <w:rFonts w:ascii="Arial" w:eastAsia="MS PGothic" w:hAnsi="Arial" w:cs="Arial"/>
                <w:color w:val="000000" w:themeColor="text1"/>
                <w:kern w:val="24"/>
                <w:sz w:val="20"/>
                <w:szCs w:val="20"/>
              </w:rPr>
              <w:t xml:space="preserve"> indirecta, PCR o aislamiento viral positivo. </w:t>
            </w:r>
          </w:p>
          <w:p w:rsidR="0042204B" w:rsidRPr="00506F58" w:rsidRDefault="0042204B" w:rsidP="0042204B">
            <w:pPr>
              <w:pStyle w:val="NormalWeb"/>
              <w:spacing w:before="96" w:beforeAutospacing="0" w:afterAutospacing="0"/>
              <w:jc w:val="both"/>
              <w:textAlignment w:val="baseline"/>
              <w:rPr>
                <w:rFonts w:ascii="Arial" w:eastAsia="MS PGothic" w:hAnsi="Arial" w:cs="Arial"/>
                <w:color w:val="000000" w:themeColor="text1"/>
                <w:kern w:val="24"/>
                <w:sz w:val="20"/>
                <w:szCs w:val="20"/>
              </w:rPr>
            </w:pPr>
            <w:r w:rsidRPr="00506F58">
              <w:rPr>
                <w:rFonts w:ascii="Arial" w:eastAsia="MS PGothic" w:hAnsi="Arial" w:cs="Arial"/>
                <w:b/>
                <w:color w:val="000000" w:themeColor="text1"/>
                <w:kern w:val="24"/>
                <w:sz w:val="20"/>
                <w:szCs w:val="20"/>
              </w:rPr>
              <w:t>Confirmado por Nexo epidemiológico:</w:t>
            </w:r>
            <w:r w:rsidRPr="00506F58">
              <w:rPr>
                <w:rFonts w:ascii="Arial" w:eastAsia="MS PGothic" w:hAnsi="Arial" w:cs="Arial"/>
                <w:color w:val="000000" w:themeColor="text1"/>
                <w:kern w:val="24"/>
                <w:sz w:val="20"/>
                <w:szCs w:val="20"/>
              </w:rPr>
              <w:t xml:space="preserve"> contacto con un caso confirmado por laboratorio (prueba </w:t>
            </w:r>
            <w:proofErr w:type="spellStart"/>
            <w:r w:rsidRPr="00506F58">
              <w:rPr>
                <w:rFonts w:ascii="Arial" w:eastAsia="MS PGothic" w:hAnsi="Arial" w:cs="Arial"/>
                <w:color w:val="000000" w:themeColor="text1"/>
                <w:kern w:val="24"/>
                <w:sz w:val="20"/>
                <w:szCs w:val="20"/>
              </w:rPr>
              <w:t>IgM</w:t>
            </w:r>
            <w:proofErr w:type="spellEnd"/>
            <w:r w:rsidRPr="00506F58">
              <w:rPr>
                <w:rFonts w:ascii="Arial" w:eastAsia="MS PGothic" w:hAnsi="Arial" w:cs="Arial"/>
                <w:color w:val="000000" w:themeColor="text1"/>
                <w:kern w:val="24"/>
                <w:sz w:val="20"/>
                <w:szCs w:val="20"/>
              </w:rPr>
              <w:t xml:space="preserve"> indirecta o PCR positivo o cultivo viral positivo).</w:t>
            </w:r>
          </w:p>
          <w:p w:rsidR="0042204B" w:rsidRPr="00506F58" w:rsidRDefault="0042204B" w:rsidP="0042204B">
            <w:pPr>
              <w:pStyle w:val="NormalWeb"/>
              <w:spacing w:beforeAutospacing="0" w:afterAutospacing="0"/>
              <w:ind w:left="720" w:hanging="720"/>
              <w:jc w:val="both"/>
              <w:textAlignment w:val="baseline"/>
              <w:rPr>
                <w:rFonts w:ascii="Arial" w:hAnsi="Arial" w:cs="Arial"/>
                <w:b/>
                <w:color w:val="000000" w:themeColor="text1"/>
                <w:sz w:val="20"/>
                <w:szCs w:val="20"/>
              </w:rPr>
            </w:pPr>
            <w:r w:rsidRPr="00506F58">
              <w:rPr>
                <w:rFonts w:ascii="Arial" w:eastAsia="MS PGothic" w:hAnsi="Arial" w:cs="Arial"/>
                <w:b/>
                <w:color w:val="000000" w:themeColor="text1"/>
                <w:kern w:val="24"/>
                <w:sz w:val="20"/>
                <w:szCs w:val="20"/>
              </w:rPr>
              <w:t>Confirmado por Clínica</w:t>
            </w:r>
            <w:r w:rsidR="00DB734D" w:rsidRPr="00506F58">
              <w:rPr>
                <w:rFonts w:ascii="Arial" w:eastAsia="MS PGothic" w:hAnsi="Arial" w:cs="Arial"/>
                <w:b/>
                <w:color w:val="000000" w:themeColor="text1"/>
                <w:kern w:val="24"/>
                <w:sz w:val="20"/>
                <w:szCs w:val="20"/>
              </w:rPr>
              <w:t>:</w:t>
            </w:r>
            <w:r w:rsidR="00DB734D" w:rsidRPr="00506F58">
              <w:rPr>
                <w:rFonts w:ascii="Arial" w:hAnsi="Arial" w:cs="Arial"/>
                <w:b/>
                <w:color w:val="000000" w:themeColor="text1"/>
                <w:sz w:val="20"/>
                <w:szCs w:val="20"/>
              </w:rPr>
              <w:t xml:space="preserve"> </w:t>
            </w:r>
            <w:r w:rsidR="00DB734D" w:rsidRPr="00506F58">
              <w:rPr>
                <w:rFonts w:ascii="Arial" w:hAnsi="Arial" w:cs="Arial"/>
                <w:color w:val="000000" w:themeColor="text1"/>
                <w:sz w:val="20"/>
                <w:szCs w:val="20"/>
              </w:rPr>
              <w:t>Todo</w:t>
            </w:r>
            <w:r w:rsidRPr="00506F58">
              <w:rPr>
                <w:rFonts w:ascii="Arial" w:eastAsia="MS PGothic" w:hAnsi="Arial" w:cs="Arial"/>
                <w:color w:val="000000" w:themeColor="text1"/>
                <w:kern w:val="24"/>
                <w:sz w:val="20"/>
                <w:szCs w:val="20"/>
              </w:rPr>
              <w:t xml:space="preserve"> caso sospechoso de Sarampión  </w:t>
            </w:r>
            <w:proofErr w:type="spellStart"/>
            <w:r w:rsidRPr="00506F58">
              <w:rPr>
                <w:rFonts w:ascii="Arial" w:eastAsia="MS PGothic" w:hAnsi="Arial" w:cs="Arial"/>
                <w:color w:val="000000" w:themeColor="text1"/>
                <w:kern w:val="24"/>
                <w:sz w:val="20"/>
                <w:szCs w:val="20"/>
              </w:rPr>
              <w:t>ó</w:t>
            </w:r>
            <w:proofErr w:type="spellEnd"/>
            <w:r w:rsidRPr="00506F58">
              <w:rPr>
                <w:rFonts w:ascii="Arial" w:eastAsia="MS PGothic" w:hAnsi="Arial" w:cs="Arial"/>
                <w:color w:val="000000" w:themeColor="text1"/>
                <w:kern w:val="24"/>
                <w:sz w:val="20"/>
                <w:szCs w:val="20"/>
              </w:rPr>
              <w:t xml:space="preserve"> Rubéola sin una </w:t>
            </w:r>
            <w:r w:rsidR="00DB734D" w:rsidRPr="00506F58">
              <w:rPr>
                <w:rFonts w:ascii="Arial" w:eastAsia="MS PGothic" w:hAnsi="Arial" w:cs="Arial"/>
                <w:color w:val="000000" w:themeColor="text1"/>
                <w:kern w:val="24"/>
                <w:sz w:val="20"/>
                <w:szCs w:val="20"/>
              </w:rPr>
              <w:t xml:space="preserve">muestra adecuada de sangre </w:t>
            </w:r>
            <w:r w:rsidRPr="00506F58">
              <w:rPr>
                <w:rFonts w:ascii="Arial" w:eastAsia="MS PGothic" w:hAnsi="Arial" w:cs="Arial"/>
                <w:color w:val="000000" w:themeColor="text1"/>
                <w:kern w:val="24"/>
                <w:sz w:val="20"/>
                <w:szCs w:val="20"/>
              </w:rPr>
              <w:t xml:space="preserve">para descartar  </w:t>
            </w:r>
            <w:proofErr w:type="spellStart"/>
            <w:r w:rsidRPr="00506F58">
              <w:rPr>
                <w:rFonts w:ascii="Arial" w:eastAsia="MS PGothic" w:hAnsi="Arial" w:cs="Arial"/>
                <w:color w:val="000000" w:themeColor="text1"/>
                <w:kern w:val="24"/>
                <w:sz w:val="20"/>
                <w:szCs w:val="20"/>
              </w:rPr>
              <w:t>ó</w:t>
            </w:r>
            <w:proofErr w:type="spellEnd"/>
            <w:r w:rsidRPr="00506F58">
              <w:rPr>
                <w:rFonts w:ascii="Arial" w:eastAsia="MS PGothic" w:hAnsi="Arial" w:cs="Arial"/>
                <w:color w:val="000000" w:themeColor="text1"/>
                <w:kern w:val="24"/>
                <w:sz w:val="20"/>
                <w:szCs w:val="20"/>
              </w:rPr>
              <w:t xml:space="preserve"> confirmar el caso. (Falla de Vigilancia).</w:t>
            </w:r>
          </w:p>
          <w:p w:rsidR="0042204B" w:rsidRPr="00506F58" w:rsidRDefault="0042204B" w:rsidP="0042204B">
            <w:pPr>
              <w:pStyle w:val="NormalWeb"/>
              <w:spacing w:before="96" w:beforeAutospacing="0" w:afterAutospacing="0"/>
              <w:jc w:val="both"/>
              <w:textAlignment w:val="baseline"/>
              <w:rPr>
                <w:rFonts w:ascii="Arial" w:hAnsi="Arial" w:cs="Arial"/>
                <w:color w:val="000000" w:themeColor="text1"/>
                <w:sz w:val="20"/>
                <w:szCs w:val="20"/>
              </w:rPr>
            </w:pPr>
            <w:r w:rsidRPr="00506F58">
              <w:rPr>
                <w:rFonts w:ascii="Arial" w:eastAsia="MS PGothic" w:hAnsi="Arial" w:cs="Arial"/>
                <w:b/>
                <w:color w:val="000000" w:themeColor="text1"/>
                <w:kern w:val="24"/>
                <w:sz w:val="20"/>
                <w:szCs w:val="20"/>
              </w:rPr>
              <w:t>Caso descartado:</w:t>
            </w:r>
            <w:r w:rsidRPr="00506F58">
              <w:rPr>
                <w:rFonts w:ascii="Arial" w:eastAsia="MS PGothic" w:hAnsi="Arial" w:cs="Arial"/>
                <w:color w:val="000000" w:themeColor="text1"/>
                <w:kern w:val="24"/>
                <w:sz w:val="20"/>
                <w:szCs w:val="20"/>
              </w:rPr>
              <w:t xml:space="preserve"> Es el caso sospechoso para el cual se tomó muestra adecuada de suero y que tiene resultado de laboratorio negativo para sarampión /rubéola por la prueba indirecta de </w:t>
            </w:r>
            <w:proofErr w:type="spellStart"/>
            <w:r w:rsidRPr="00506F58">
              <w:rPr>
                <w:rFonts w:ascii="Arial" w:eastAsia="MS PGothic" w:hAnsi="Arial" w:cs="Arial"/>
                <w:color w:val="000000" w:themeColor="text1"/>
                <w:kern w:val="24"/>
                <w:sz w:val="20"/>
                <w:szCs w:val="20"/>
              </w:rPr>
              <w:t>IgM</w:t>
            </w:r>
            <w:proofErr w:type="spellEnd"/>
            <w:r w:rsidRPr="00506F58">
              <w:rPr>
                <w:rFonts w:ascii="Arial" w:eastAsia="MS PGothic" w:hAnsi="Arial" w:cs="Arial"/>
                <w:color w:val="000000" w:themeColor="text1"/>
                <w:kern w:val="24"/>
                <w:sz w:val="20"/>
                <w:szCs w:val="20"/>
              </w:rPr>
              <w:t xml:space="preserve"> o PCR en hisopado faríngeo/orina.</w:t>
            </w:r>
          </w:p>
          <w:p w:rsidR="0042204B" w:rsidRPr="00506F58" w:rsidRDefault="0042204B" w:rsidP="0042204B">
            <w:pPr>
              <w:pStyle w:val="NormalWeb"/>
              <w:spacing w:before="96" w:beforeAutospacing="0" w:afterAutospacing="0"/>
              <w:jc w:val="both"/>
              <w:textAlignment w:val="baseline"/>
              <w:rPr>
                <w:rFonts w:ascii="Arial" w:eastAsia="MS PGothic" w:hAnsi="Arial" w:cs="Arial"/>
                <w:color w:val="000000" w:themeColor="text1"/>
                <w:kern w:val="24"/>
                <w:sz w:val="20"/>
                <w:szCs w:val="20"/>
              </w:rPr>
            </w:pPr>
            <w:r w:rsidRPr="00506F58">
              <w:rPr>
                <w:rFonts w:ascii="Arial" w:eastAsia="MS PGothic" w:hAnsi="Arial" w:cs="Arial"/>
                <w:b/>
                <w:color w:val="000000" w:themeColor="text1"/>
                <w:kern w:val="24"/>
                <w:sz w:val="20"/>
                <w:szCs w:val="20"/>
              </w:rPr>
              <w:t>Caso importado</w:t>
            </w:r>
            <w:r w:rsidR="00DB734D" w:rsidRPr="00506F58">
              <w:rPr>
                <w:rFonts w:ascii="Arial" w:eastAsia="MS PGothic" w:hAnsi="Arial" w:cs="Arial"/>
                <w:b/>
                <w:color w:val="000000" w:themeColor="text1"/>
                <w:kern w:val="24"/>
                <w:sz w:val="20"/>
                <w:szCs w:val="20"/>
              </w:rPr>
              <w:t xml:space="preserve">: </w:t>
            </w:r>
            <w:r w:rsidR="00DB734D" w:rsidRPr="00506F58">
              <w:rPr>
                <w:rFonts w:ascii="Arial" w:hAnsi="Arial" w:cs="Arial"/>
                <w:color w:val="000000" w:themeColor="text1"/>
                <w:sz w:val="20"/>
                <w:szCs w:val="20"/>
              </w:rPr>
              <w:t>Caso</w:t>
            </w:r>
            <w:r w:rsidRPr="00506F58">
              <w:rPr>
                <w:rFonts w:ascii="Arial" w:eastAsia="MS PGothic" w:hAnsi="Arial" w:cs="Arial"/>
                <w:color w:val="000000" w:themeColor="text1"/>
                <w:kern w:val="24"/>
                <w:sz w:val="20"/>
                <w:szCs w:val="20"/>
              </w:rPr>
              <w:t xml:space="preserve"> confirmado de sarampión o rubéola en una persona que viajó a otro país donde circulaba uno de estos virus durante el período de posible exposición: de 7 a 18 días antes del inicio del exantema.</w:t>
            </w:r>
          </w:p>
          <w:p w:rsidR="0042204B" w:rsidRPr="00506F58" w:rsidRDefault="00DB734D" w:rsidP="0042204B">
            <w:pPr>
              <w:pStyle w:val="NormalWeb"/>
              <w:spacing w:before="96" w:beforeAutospacing="0" w:afterAutospacing="0"/>
              <w:jc w:val="both"/>
              <w:textAlignment w:val="baseline"/>
              <w:rPr>
                <w:rFonts w:ascii="Arial" w:eastAsia="MS PGothic" w:hAnsi="Arial" w:cs="Arial"/>
                <w:b/>
                <w:color w:val="FF0000"/>
                <w:kern w:val="24"/>
                <w:sz w:val="20"/>
                <w:szCs w:val="20"/>
              </w:rPr>
            </w:pPr>
            <w:r w:rsidRPr="00506F58">
              <w:rPr>
                <w:rFonts w:ascii="Arial" w:eastAsia="MS PGothic" w:hAnsi="Arial" w:cs="Arial"/>
                <w:color w:val="000000" w:themeColor="text1"/>
                <w:kern w:val="24"/>
                <w:sz w:val="20"/>
                <w:szCs w:val="20"/>
              </w:rPr>
              <w:t>Es importante saber que hay acciones individuales</w:t>
            </w:r>
            <w:r w:rsidR="00117078" w:rsidRPr="00506F58">
              <w:rPr>
                <w:rFonts w:ascii="Arial" w:eastAsia="MS PGothic" w:hAnsi="Arial" w:cs="Arial"/>
                <w:color w:val="000000" w:themeColor="text1"/>
                <w:kern w:val="24"/>
                <w:sz w:val="20"/>
                <w:szCs w:val="20"/>
              </w:rPr>
              <w:t xml:space="preserve"> desde las instituciones hasta el equipo de vigilancia</w:t>
            </w:r>
            <w:r w:rsidRPr="00506F58">
              <w:rPr>
                <w:rFonts w:ascii="Arial" w:eastAsia="MS PGothic" w:hAnsi="Arial" w:cs="Arial"/>
                <w:color w:val="000000" w:themeColor="text1"/>
                <w:kern w:val="24"/>
                <w:sz w:val="20"/>
                <w:szCs w:val="20"/>
              </w:rPr>
              <w:t xml:space="preserve"> </w:t>
            </w:r>
            <w:r w:rsidR="00117078" w:rsidRPr="00506F58">
              <w:rPr>
                <w:rFonts w:ascii="Arial" w:eastAsia="MS PGothic" w:hAnsi="Arial" w:cs="Arial"/>
                <w:color w:val="000000" w:themeColor="text1"/>
                <w:kern w:val="24"/>
                <w:sz w:val="20"/>
                <w:szCs w:val="20"/>
              </w:rPr>
              <w:t>como:</w:t>
            </w:r>
          </w:p>
          <w:p w:rsidR="0042204B" w:rsidRPr="00506F58" w:rsidRDefault="0042204B" w:rsidP="00117078">
            <w:pPr>
              <w:pStyle w:val="Prrafodelista"/>
              <w:numPr>
                <w:ilvl w:val="0"/>
                <w:numId w:val="23"/>
              </w:numPr>
              <w:jc w:val="both"/>
              <w:textAlignment w:val="baseline"/>
              <w:rPr>
                <w:rFonts w:ascii="Arial" w:hAnsi="Arial" w:cs="Arial"/>
                <w:color w:val="000000" w:themeColor="text1"/>
                <w:sz w:val="20"/>
              </w:rPr>
            </w:pPr>
            <w:r w:rsidRPr="00506F58">
              <w:rPr>
                <w:rFonts w:ascii="Arial" w:eastAsia="MS PGothic" w:hAnsi="Arial" w:cs="Arial"/>
                <w:color w:val="000000" w:themeColor="text1"/>
                <w:kern w:val="24"/>
                <w:sz w:val="20"/>
              </w:rPr>
              <w:t xml:space="preserve">La notificación obligatoria e inmediata de todo caso sospechoso. </w:t>
            </w:r>
          </w:p>
          <w:p w:rsidR="0042204B" w:rsidRPr="00506F58" w:rsidRDefault="0042204B" w:rsidP="00117078">
            <w:pPr>
              <w:pStyle w:val="Prrafodelista"/>
              <w:numPr>
                <w:ilvl w:val="0"/>
                <w:numId w:val="23"/>
              </w:numPr>
              <w:jc w:val="both"/>
              <w:textAlignment w:val="baseline"/>
              <w:rPr>
                <w:rFonts w:ascii="Arial" w:hAnsi="Arial" w:cs="Arial"/>
                <w:color w:val="000000" w:themeColor="text1"/>
                <w:sz w:val="20"/>
              </w:rPr>
            </w:pPr>
            <w:r w:rsidRPr="00506F58">
              <w:rPr>
                <w:rFonts w:ascii="Arial" w:eastAsia="MS PGothic" w:hAnsi="Arial" w:cs="Arial"/>
                <w:color w:val="000000" w:themeColor="text1"/>
                <w:kern w:val="24"/>
                <w:sz w:val="20"/>
              </w:rPr>
              <w:t>De debe diligenciar la ficha de notificación y de investigación de caso sospechoso de sarampión o rubéola en su totalidad. Es obligatorio registrar la fecha de toma de las muestras.</w:t>
            </w:r>
          </w:p>
          <w:p w:rsidR="0042204B" w:rsidRPr="00506F58" w:rsidRDefault="0042204B" w:rsidP="00117078">
            <w:pPr>
              <w:pStyle w:val="Prrafodelista"/>
              <w:numPr>
                <w:ilvl w:val="0"/>
                <w:numId w:val="23"/>
              </w:numPr>
              <w:jc w:val="both"/>
              <w:textAlignment w:val="baseline"/>
              <w:rPr>
                <w:rFonts w:ascii="Arial" w:hAnsi="Arial" w:cs="Arial"/>
                <w:color w:val="000000" w:themeColor="text1"/>
                <w:sz w:val="20"/>
              </w:rPr>
            </w:pPr>
            <w:r w:rsidRPr="00506F58">
              <w:rPr>
                <w:rFonts w:ascii="Arial" w:eastAsia="MS PGothic" w:hAnsi="Arial" w:cs="Arial"/>
                <w:color w:val="000000" w:themeColor="text1"/>
                <w:kern w:val="24"/>
                <w:sz w:val="20"/>
              </w:rPr>
              <w:t xml:space="preserve">Es importante indicar al paciente  que debe permanecer aislado en su domicilio durante 5-7 días después de iniciada la erupción. El manejo hospitalario sólo es indicado en casos con signos y síntomas de complicaciones o con alto riesgo de complicación. </w:t>
            </w:r>
          </w:p>
          <w:p w:rsidR="0042204B" w:rsidRPr="00506F58" w:rsidRDefault="0042204B" w:rsidP="0042204B">
            <w:pPr>
              <w:jc w:val="both"/>
              <w:textAlignment w:val="baseline"/>
              <w:rPr>
                <w:rFonts w:ascii="Arial" w:hAnsi="Arial" w:cs="Arial"/>
                <w:color w:val="FF0000"/>
                <w:sz w:val="20"/>
              </w:rPr>
            </w:pPr>
          </w:p>
          <w:p w:rsidR="0042204B" w:rsidRPr="00506F58" w:rsidRDefault="00117078" w:rsidP="00117078">
            <w:pPr>
              <w:jc w:val="both"/>
              <w:textAlignment w:val="baseline"/>
              <w:rPr>
                <w:rFonts w:ascii="Arial" w:hAnsi="Arial" w:cs="Arial"/>
                <w:color w:val="000000" w:themeColor="text1"/>
                <w:sz w:val="20"/>
                <w:lang w:val="es-MX" w:eastAsia="es-MX"/>
              </w:rPr>
            </w:pPr>
            <w:r w:rsidRPr="00506F58">
              <w:rPr>
                <w:rFonts w:ascii="Arial" w:hAnsi="Arial" w:cs="Arial"/>
                <w:color w:val="000000" w:themeColor="text1"/>
                <w:sz w:val="20"/>
              </w:rPr>
              <w:t>De parte de las instituciones de salud “ UPGD” se debe tener claro que a</w:t>
            </w:r>
            <w:r w:rsidR="0042204B" w:rsidRPr="00506F58">
              <w:rPr>
                <w:rFonts w:ascii="Arial" w:eastAsia="MS PGothic" w:hAnsi="Arial" w:cs="Arial"/>
                <w:color w:val="000000" w:themeColor="text1"/>
                <w:kern w:val="24"/>
                <w:sz w:val="20"/>
                <w:lang w:eastAsia="es-MX"/>
              </w:rPr>
              <w:t xml:space="preserve"> todo caso sospechoso de sarampión-rubéola se le debe garantizar la toma de las siguientes muestras y el envío al Laboratorio de Salud Pública de la Secretaría Distrital de Salud para su procesamiento :</w:t>
            </w:r>
          </w:p>
          <w:p w:rsidR="0042204B" w:rsidRPr="00506F58" w:rsidRDefault="0042204B" w:rsidP="0042204B">
            <w:pPr>
              <w:contextualSpacing/>
              <w:jc w:val="both"/>
              <w:textAlignment w:val="baseline"/>
              <w:rPr>
                <w:rFonts w:ascii="Arial" w:eastAsia="MS PGothic" w:hAnsi="Arial" w:cs="Arial"/>
                <w:color w:val="000000" w:themeColor="text1"/>
                <w:kern w:val="24"/>
                <w:sz w:val="20"/>
                <w:lang w:eastAsia="es-MX"/>
              </w:rPr>
            </w:pPr>
          </w:p>
          <w:p w:rsidR="0042204B" w:rsidRPr="00506F58" w:rsidRDefault="0042204B" w:rsidP="00710E0B">
            <w:pPr>
              <w:pStyle w:val="Prrafodelista"/>
              <w:numPr>
                <w:ilvl w:val="0"/>
                <w:numId w:val="28"/>
              </w:numPr>
              <w:jc w:val="both"/>
              <w:textAlignment w:val="baseline"/>
              <w:rPr>
                <w:rFonts w:ascii="Arial" w:hAnsi="Arial" w:cs="Arial"/>
                <w:color w:val="000000" w:themeColor="text1"/>
                <w:sz w:val="20"/>
              </w:rPr>
            </w:pPr>
            <w:r w:rsidRPr="00506F58">
              <w:rPr>
                <w:rFonts w:ascii="Arial" w:eastAsia="MS PGothic" w:hAnsi="Arial" w:cs="Arial"/>
                <w:color w:val="000000" w:themeColor="text1"/>
                <w:kern w:val="24"/>
                <w:sz w:val="20"/>
              </w:rPr>
              <w:t xml:space="preserve">Muestra de suero: Para detección de </w:t>
            </w:r>
            <w:proofErr w:type="spellStart"/>
            <w:r w:rsidRPr="00506F58">
              <w:rPr>
                <w:rFonts w:ascii="Arial" w:eastAsia="MS PGothic" w:hAnsi="Arial" w:cs="Arial"/>
                <w:color w:val="000000" w:themeColor="text1"/>
                <w:kern w:val="24"/>
                <w:sz w:val="20"/>
              </w:rPr>
              <w:t>IgM</w:t>
            </w:r>
            <w:proofErr w:type="spellEnd"/>
            <w:r w:rsidRPr="00506F58">
              <w:rPr>
                <w:rFonts w:ascii="Arial" w:eastAsia="MS PGothic" w:hAnsi="Arial" w:cs="Arial"/>
                <w:color w:val="000000" w:themeColor="text1"/>
                <w:kern w:val="24"/>
                <w:sz w:val="20"/>
              </w:rPr>
              <w:t xml:space="preserve"> en una muestra tomada al primer contacto con el paciente y hasta los 30 días de iniciada la erupción. Siempre que la primera muestra arroje un resultado positivo o dudoso para </w:t>
            </w:r>
            <w:proofErr w:type="spellStart"/>
            <w:r w:rsidRPr="00506F58">
              <w:rPr>
                <w:rFonts w:ascii="Arial" w:eastAsia="MS PGothic" w:hAnsi="Arial" w:cs="Arial"/>
                <w:color w:val="000000" w:themeColor="text1"/>
                <w:kern w:val="24"/>
                <w:sz w:val="20"/>
              </w:rPr>
              <w:t>IgM</w:t>
            </w:r>
            <w:proofErr w:type="spellEnd"/>
            <w:r w:rsidRPr="00506F58">
              <w:rPr>
                <w:rFonts w:ascii="Arial" w:eastAsia="MS PGothic" w:hAnsi="Arial" w:cs="Arial"/>
                <w:color w:val="000000" w:themeColor="text1"/>
                <w:kern w:val="24"/>
                <w:sz w:val="20"/>
              </w:rPr>
              <w:t>, se debe solicitar la recolección de una segunda muestra de suero tomada 12-15 días después de la primera.</w:t>
            </w:r>
          </w:p>
          <w:p w:rsidR="0042204B" w:rsidRPr="00506F58" w:rsidRDefault="0042204B" w:rsidP="0042204B">
            <w:pPr>
              <w:pStyle w:val="Prrafodelista"/>
              <w:jc w:val="both"/>
              <w:textAlignment w:val="baseline"/>
              <w:rPr>
                <w:rFonts w:ascii="Arial" w:hAnsi="Arial" w:cs="Arial"/>
                <w:color w:val="000000" w:themeColor="text1"/>
                <w:sz w:val="20"/>
              </w:rPr>
            </w:pPr>
          </w:p>
          <w:p w:rsidR="0042204B" w:rsidRPr="00506F58" w:rsidRDefault="0042204B" w:rsidP="00710E0B">
            <w:pPr>
              <w:pStyle w:val="Prrafodelista"/>
              <w:numPr>
                <w:ilvl w:val="0"/>
                <w:numId w:val="28"/>
              </w:numPr>
              <w:jc w:val="both"/>
              <w:textAlignment w:val="baseline"/>
              <w:rPr>
                <w:rFonts w:ascii="Arial" w:hAnsi="Arial" w:cs="Arial"/>
                <w:color w:val="000000" w:themeColor="text1"/>
                <w:sz w:val="20"/>
              </w:rPr>
            </w:pPr>
            <w:r w:rsidRPr="00506F58">
              <w:rPr>
                <w:rFonts w:ascii="Arial" w:eastAsia="MS PGothic" w:hAnsi="Arial" w:cs="Arial"/>
                <w:color w:val="000000" w:themeColor="text1"/>
                <w:kern w:val="24"/>
                <w:sz w:val="20"/>
              </w:rPr>
              <w:t>Hisopado nasofaríngeo y orina: Para detección del virus, estas muestras se deben recolectar dentro de los 7 días siguientes al inicio de la erupción</w:t>
            </w:r>
          </w:p>
          <w:p w:rsidR="0042204B" w:rsidRPr="00506F58" w:rsidRDefault="0042204B" w:rsidP="0042204B">
            <w:pPr>
              <w:pStyle w:val="NormalWeb"/>
              <w:spacing w:before="96" w:beforeAutospacing="0" w:afterAutospacing="0"/>
              <w:jc w:val="both"/>
              <w:textAlignment w:val="baseline"/>
              <w:rPr>
                <w:rFonts w:ascii="Arial" w:hAnsi="Arial" w:cs="Arial"/>
                <w:color w:val="000000" w:themeColor="text1"/>
                <w:sz w:val="20"/>
                <w:szCs w:val="20"/>
              </w:rPr>
            </w:pPr>
          </w:p>
          <w:p w:rsidR="0042204B" w:rsidRPr="00506F58" w:rsidRDefault="0042204B" w:rsidP="0042204B">
            <w:pPr>
              <w:pStyle w:val="NormalWeb"/>
              <w:spacing w:before="96" w:beforeAutospacing="0" w:afterAutospacing="0"/>
              <w:jc w:val="both"/>
              <w:textAlignment w:val="baseline"/>
              <w:rPr>
                <w:rFonts w:ascii="Arial" w:hAnsi="Arial" w:cs="Arial"/>
                <w:color w:val="FF0000"/>
                <w:sz w:val="20"/>
                <w:szCs w:val="20"/>
              </w:rPr>
            </w:pPr>
          </w:p>
          <w:p w:rsidR="0042204B" w:rsidRPr="00506F58" w:rsidRDefault="0042204B" w:rsidP="0042204B">
            <w:pPr>
              <w:kinsoku w:val="0"/>
              <w:overflowPunct w:val="0"/>
              <w:jc w:val="both"/>
              <w:textAlignment w:val="baseline"/>
              <w:rPr>
                <w:rFonts w:ascii="Arial" w:hAnsi="Arial" w:cs="Arial"/>
                <w:b/>
                <w:color w:val="FF0000"/>
                <w:sz w:val="20"/>
              </w:rPr>
            </w:pPr>
            <w:r w:rsidRPr="00506F58">
              <w:rPr>
                <w:rFonts w:ascii="Arial" w:hAnsi="Arial" w:cs="Arial"/>
                <w:b/>
                <w:color w:val="FF0000"/>
                <w:sz w:val="20"/>
              </w:rPr>
              <w:t xml:space="preserve">                    </w:t>
            </w:r>
          </w:p>
          <w:p w:rsidR="0042204B" w:rsidRPr="00506F58" w:rsidRDefault="0042204B" w:rsidP="0042204B">
            <w:pPr>
              <w:pStyle w:val="NormalWeb"/>
              <w:spacing w:beforeAutospacing="0" w:afterAutospacing="0"/>
              <w:jc w:val="both"/>
              <w:textAlignment w:val="baseline"/>
              <w:rPr>
                <w:rFonts w:ascii="Arial" w:hAnsi="Arial" w:cs="Arial"/>
                <w:b/>
                <w:color w:val="FF0000"/>
                <w:sz w:val="20"/>
                <w:szCs w:val="20"/>
              </w:rPr>
            </w:pPr>
          </w:p>
          <w:p w:rsidR="0042204B" w:rsidRPr="00506F58" w:rsidRDefault="0042204B" w:rsidP="0042204B">
            <w:pPr>
              <w:rPr>
                <w:rFonts w:ascii="Arial" w:hAnsi="Arial" w:cs="Arial"/>
                <w:color w:val="FF0000"/>
                <w:sz w:val="20"/>
              </w:rPr>
            </w:pPr>
            <w:r w:rsidRPr="00506F58">
              <w:rPr>
                <w:rFonts w:ascii="Arial" w:hAnsi="Arial" w:cs="Arial"/>
                <w:color w:val="FF0000"/>
                <w:sz w:val="20"/>
              </w:rPr>
              <w:t xml:space="preserve">  </w:t>
            </w:r>
          </w:p>
          <w:p w:rsidR="0042204B" w:rsidRPr="00506F58" w:rsidRDefault="0042204B" w:rsidP="0042204B">
            <w:pPr>
              <w:rPr>
                <w:rFonts w:ascii="Arial" w:hAnsi="Arial" w:cs="Arial"/>
                <w:color w:val="FF0000"/>
                <w:sz w:val="20"/>
              </w:rPr>
            </w:pPr>
          </w:p>
          <w:p w:rsidR="0042204B" w:rsidRPr="00506F58" w:rsidRDefault="0042204B" w:rsidP="0042204B">
            <w:pPr>
              <w:rPr>
                <w:rFonts w:ascii="Arial" w:hAnsi="Arial" w:cs="Arial"/>
                <w:color w:val="FF0000"/>
                <w:sz w:val="20"/>
              </w:rPr>
            </w:pPr>
          </w:p>
          <w:p w:rsidR="0042204B" w:rsidRPr="00506F58" w:rsidRDefault="0042204B" w:rsidP="0042204B">
            <w:pPr>
              <w:rPr>
                <w:rFonts w:ascii="Arial" w:hAnsi="Arial" w:cs="Arial"/>
                <w:color w:val="FF0000"/>
                <w:sz w:val="20"/>
              </w:rPr>
            </w:pPr>
          </w:p>
          <w:p w:rsidR="0042204B" w:rsidRPr="00506F58" w:rsidRDefault="0042204B" w:rsidP="0042204B">
            <w:pPr>
              <w:rPr>
                <w:rFonts w:ascii="Arial" w:hAnsi="Arial" w:cs="Arial"/>
                <w:color w:val="000000" w:themeColor="text1"/>
                <w:sz w:val="20"/>
              </w:rPr>
            </w:pPr>
            <w:r w:rsidRPr="00506F58">
              <w:rPr>
                <w:rFonts w:ascii="Arial" w:hAnsi="Arial" w:cs="Arial"/>
                <w:color w:val="FF0000"/>
                <w:sz w:val="20"/>
              </w:rPr>
              <w:t xml:space="preserve">               </w:t>
            </w:r>
          </w:p>
          <w:p w:rsidR="0042204B" w:rsidRPr="00506F58" w:rsidRDefault="007F3EF6" w:rsidP="0042204B">
            <w:pPr>
              <w:rPr>
                <w:rFonts w:ascii="Arial" w:hAnsi="Arial" w:cs="Arial"/>
                <w:b/>
                <w:color w:val="000000" w:themeColor="text1"/>
                <w:sz w:val="20"/>
              </w:rPr>
            </w:pPr>
            <w:r w:rsidRPr="00506F58">
              <w:rPr>
                <w:rFonts w:ascii="Arial" w:hAnsi="Arial" w:cs="Arial"/>
                <w:color w:val="000000" w:themeColor="text1"/>
                <w:sz w:val="20"/>
              </w:rPr>
              <w:t>También se realizan acciones colectivas como:</w:t>
            </w:r>
          </w:p>
          <w:p w:rsidR="0042204B" w:rsidRPr="00506F58" w:rsidRDefault="0042204B" w:rsidP="00710E0B">
            <w:pPr>
              <w:pStyle w:val="Prrafodelista"/>
              <w:numPr>
                <w:ilvl w:val="0"/>
                <w:numId w:val="29"/>
              </w:numPr>
              <w:kinsoku w:val="0"/>
              <w:overflowPunct w:val="0"/>
              <w:jc w:val="both"/>
              <w:textAlignment w:val="baseline"/>
              <w:rPr>
                <w:rFonts w:ascii="Arial" w:hAnsi="Arial" w:cs="Arial"/>
                <w:color w:val="000000" w:themeColor="text1"/>
                <w:sz w:val="20"/>
              </w:rPr>
            </w:pPr>
            <w:r w:rsidRPr="00506F58">
              <w:rPr>
                <w:rFonts w:ascii="Arial" w:eastAsia="MS PGothic" w:hAnsi="Arial" w:cs="Arial"/>
                <w:color w:val="000000" w:themeColor="text1"/>
                <w:kern w:val="24"/>
                <w:sz w:val="20"/>
              </w:rPr>
              <w:t>Revisión de antecedentes de vacunación</w:t>
            </w:r>
          </w:p>
          <w:p w:rsidR="0042204B" w:rsidRPr="00506F58" w:rsidRDefault="0042204B" w:rsidP="00710E0B">
            <w:pPr>
              <w:pStyle w:val="Prrafodelista"/>
              <w:numPr>
                <w:ilvl w:val="0"/>
                <w:numId w:val="29"/>
              </w:numPr>
              <w:kinsoku w:val="0"/>
              <w:overflowPunct w:val="0"/>
              <w:jc w:val="both"/>
              <w:textAlignment w:val="baseline"/>
              <w:rPr>
                <w:rFonts w:ascii="Arial" w:hAnsi="Arial" w:cs="Arial"/>
                <w:color w:val="000000" w:themeColor="text1"/>
                <w:sz w:val="20"/>
              </w:rPr>
            </w:pPr>
            <w:r w:rsidRPr="00506F58">
              <w:rPr>
                <w:rFonts w:ascii="Arial" w:eastAsia="MS PGothic" w:hAnsi="Arial" w:cs="Arial"/>
                <w:color w:val="000000" w:themeColor="text1"/>
                <w:kern w:val="24"/>
                <w:sz w:val="20"/>
              </w:rPr>
              <w:t>Identificación de antecedentes de viaje a sitios con circulación del virus.</w:t>
            </w:r>
          </w:p>
          <w:p w:rsidR="0042204B" w:rsidRPr="00506F58" w:rsidRDefault="0042204B" w:rsidP="00710E0B">
            <w:pPr>
              <w:pStyle w:val="Prrafodelista"/>
              <w:numPr>
                <w:ilvl w:val="0"/>
                <w:numId w:val="29"/>
              </w:numPr>
              <w:kinsoku w:val="0"/>
              <w:overflowPunct w:val="0"/>
              <w:jc w:val="both"/>
              <w:textAlignment w:val="baseline"/>
              <w:rPr>
                <w:rFonts w:ascii="Arial" w:hAnsi="Arial" w:cs="Arial"/>
                <w:color w:val="000000" w:themeColor="text1"/>
                <w:sz w:val="20"/>
              </w:rPr>
            </w:pPr>
            <w:r w:rsidRPr="00506F58">
              <w:rPr>
                <w:rFonts w:ascii="Arial" w:eastAsia="MS PGothic" w:hAnsi="Arial" w:cs="Arial"/>
                <w:color w:val="000000" w:themeColor="text1"/>
                <w:kern w:val="24"/>
                <w:sz w:val="20"/>
              </w:rPr>
              <w:t>Identificación de contactos de casos confirmados</w:t>
            </w:r>
          </w:p>
          <w:p w:rsidR="0042204B" w:rsidRPr="00506F58" w:rsidRDefault="0042204B" w:rsidP="00710E0B">
            <w:pPr>
              <w:pStyle w:val="Prrafodelista"/>
              <w:numPr>
                <w:ilvl w:val="0"/>
                <w:numId w:val="29"/>
              </w:numPr>
              <w:kinsoku w:val="0"/>
              <w:overflowPunct w:val="0"/>
              <w:jc w:val="both"/>
              <w:textAlignment w:val="baseline"/>
              <w:rPr>
                <w:rFonts w:ascii="Arial" w:hAnsi="Arial" w:cs="Arial"/>
                <w:color w:val="000000" w:themeColor="text1"/>
                <w:sz w:val="20"/>
              </w:rPr>
            </w:pPr>
            <w:r w:rsidRPr="00506F58">
              <w:rPr>
                <w:rFonts w:ascii="Arial" w:eastAsia="MS PGothic" w:hAnsi="Arial" w:cs="Arial"/>
                <w:color w:val="000000" w:themeColor="text1"/>
                <w:kern w:val="24"/>
                <w:sz w:val="20"/>
              </w:rPr>
              <w:t>Estrategia de vacunación-bloqueo- búsqueda de casos</w:t>
            </w:r>
          </w:p>
          <w:p w:rsidR="0042204B" w:rsidRPr="00506F58" w:rsidRDefault="0042204B" w:rsidP="00710E0B">
            <w:pPr>
              <w:pStyle w:val="Prrafodelista"/>
              <w:numPr>
                <w:ilvl w:val="0"/>
                <w:numId w:val="29"/>
              </w:numPr>
              <w:kinsoku w:val="0"/>
              <w:overflowPunct w:val="0"/>
              <w:jc w:val="both"/>
              <w:textAlignment w:val="baseline"/>
              <w:rPr>
                <w:rFonts w:ascii="Arial" w:hAnsi="Arial" w:cs="Arial"/>
                <w:color w:val="000000" w:themeColor="text1"/>
                <w:sz w:val="20"/>
              </w:rPr>
            </w:pPr>
            <w:r w:rsidRPr="00506F58">
              <w:rPr>
                <w:rFonts w:ascii="Arial" w:eastAsia="MS PGothic" w:hAnsi="Arial" w:cs="Arial"/>
                <w:color w:val="000000" w:themeColor="text1"/>
                <w:kern w:val="24"/>
                <w:sz w:val="20"/>
              </w:rPr>
              <w:t>Seguimiento por 30 días a contactos y caso</w:t>
            </w:r>
          </w:p>
          <w:p w:rsidR="0042204B" w:rsidRPr="00506F58" w:rsidRDefault="0042204B" w:rsidP="00710E0B">
            <w:pPr>
              <w:pStyle w:val="Prrafodelista"/>
              <w:numPr>
                <w:ilvl w:val="0"/>
                <w:numId w:val="29"/>
              </w:numPr>
              <w:kinsoku w:val="0"/>
              <w:overflowPunct w:val="0"/>
              <w:jc w:val="both"/>
              <w:textAlignment w:val="baseline"/>
              <w:rPr>
                <w:rFonts w:ascii="Arial" w:hAnsi="Arial" w:cs="Arial"/>
                <w:color w:val="000000" w:themeColor="text1"/>
                <w:sz w:val="20"/>
              </w:rPr>
            </w:pPr>
            <w:r w:rsidRPr="00506F58">
              <w:rPr>
                <w:rFonts w:ascii="Arial" w:eastAsia="MS PGothic" w:hAnsi="Arial" w:cs="Arial"/>
                <w:color w:val="000000" w:themeColor="text1"/>
                <w:kern w:val="24"/>
                <w:sz w:val="20"/>
              </w:rPr>
              <w:t>Estrategias de promoción y prevención</w:t>
            </w:r>
          </w:p>
          <w:p w:rsidR="0042204B" w:rsidRPr="00506F58" w:rsidRDefault="0042204B" w:rsidP="0042204B">
            <w:pPr>
              <w:kinsoku w:val="0"/>
              <w:overflowPunct w:val="0"/>
              <w:jc w:val="both"/>
              <w:textAlignment w:val="baseline"/>
              <w:rPr>
                <w:rFonts w:ascii="Arial" w:hAnsi="Arial" w:cs="Arial"/>
                <w:color w:val="000000" w:themeColor="text1"/>
                <w:sz w:val="20"/>
              </w:rPr>
            </w:pPr>
          </w:p>
          <w:p w:rsidR="0042204B" w:rsidRPr="00506F58" w:rsidRDefault="0042204B" w:rsidP="0042204B">
            <w:pPr>
              <w:kinsoku w:val="0"/>
              <w:overflowPunct w:val="0"/>
              <w:jc w:val="both"/>
              <w:textAlignment w:val="baseline"/>
              <w:rPr>
                <w:rFonts w:ascii="Arial" w:hAnsi="Arial" w:cs="Arial"/>
                <w:b/>
                <w:color w:val="000000" w:themeColor="text1"/>
                <w:sz w:val="20"/>
              </w:rPr>
            </w:pPr>
            <w:r w:rsidRPr="00506F58">
              <w:rPr>
                <w:rFonts w:ascii="Arial" w:hAnsi="Arial" w:cs="Arial"/>
                <w:b/>
                <w:color w:val="000000" w:themeColor="text1"/>
                <w:sz w:val="20"/>
              </w:rPr>
              <w:t>PLAN DISTRITAL DE ACCION FRENTE AL RIESGO DE IMPORTACION DE CASOS DE SARAMPION</w:t>
            </w:r>
          </w:p>
          <w:p w:rsidR="0042204B" w:rsidRPr="00506F58" w:rsidRDefault="0042204B" w:rsidP="00710E0B">
            <w:pPr>
              <w:pStyle w:val="Prrafodelista"/>
              <w:numPr>
                <w:ilvl w:val="0"/>
                <w:numId w:val="30"/>
              </w:numPr>
              <w:kinsoku w:val="0"/>
              <w:overflowPunct w:val="0"/>
              <w:jc w:val="both"/>
              <w:textAlignment w:val="baseline"/>
              <w:rPr>
                <w:rFonts w:ascii="Arial" w:hAnsi="Arial" w:cs="Arial"/>
                <w:color w:val="000000" w:themeColor="text1"/>
                <w:sz w:val="20"/>
              </w:rPr>
            </w:pPr>
            <w:r w:rsidRPr="00506F58">
              <w:rPr>
                <w:rFonts w:ascii="Arial" w:hAnsi="Arial" w:cs="Arial"/>
                <w:color w:val="000000" w:themeColor="text1"/>
                <w:sz w:val="20"/>
              </w:rPr>
              <w:t>Comunicaciones</w:t>
            </w:r>
          </w:p>
          <w:p w:rsidR="0042204B" w:rsidRPr="00506F58" w:rsidRDefault="0042204B" w:rsidP="00710E0B">
            <w:pPr>
              <w:pStyle w:val="Prrafodelista"/>
              <w:numPr>
                <w:ilvl w:val="0"/>
                <w:numId w:val="30"/>
              </w:numPr>
              <w:kinsoku w:val="0"/>
              <w:overflowPunct w:val="0"/>
              <w:jc w:val="both"/>
              <w:textAlignment w:val="baseline"/>
              <w:rPr>
                <w:rFonts w:ascii="Arial" w:hAnsi="Arial" w:cs="Arial"/>
                <w:color w:val="000000" w:themeColor="text1"/>
                <w:sz w:val="20"/>
              </w:rPr>
            </w:pPr>
            <w:r w:rsidRPr="00506F58">
              <w:rPr>
                <w:rFonts w:ascii="Arial" w:hAnsi="Arial" w:cs="Arial"/>
                <w:color w:val="000000" w:themeColor="text1"/>
                <w:sz w:val="20"/>
              </w:rPr>
              <w:t>Capacitación</w:t>
            </w:r>
          </w:p>
          <w:p w:rsidR="0042204B" w:rsidRPr="00506F58" w:rsidRDefault="0042204B" w:rsidP="00710E0B">
            <w:pPr>
              <w:pStyle w:val="Prrafodelista"/>
              <w:numPr>
                <w:ilvl w:val="0"/>
                <w:numId w:val="30"/>
              </w:numPr>
              <w:kinsoku w:val="0"/>
              <w:overflowPunct w:val="0"/>
              <w:jc w:val="both"/>
              <w:textAlignment w:val="baseline"/>
              <w:rPr>
                <w:rFonts w:ascii="Arial" w:hAnsi="Arial" w:cs="Arial"/>
                <w:color w:val="000000" w:themeColor="text1"/>
                <w:sz w:val="20"/>
              </w:rPr>
            </w:pPr>
            <w:r w:rsidRPr="00506F58">
              <w:rPr>
                <w:rFonts w:ascii="Arial" w:hAnsi="Arial" w:cs="Arial"/>
                <w:color w:val="000000" w:themeColor="text1"/>
                <w:sz w:val="20"/>
              </w:rPr>
              <w:t>Búsqueda activa</w:t>
            </w:r>
          </w:p>
          <w:p w:rsidR="0042204B" w:rsidRPr="00506F58" w:rsidRDefault="0042204B" w:rsidP="00710E0B">
            <w:pPr>
              <w:pStyle w:val="Prrafodelista"/>
              <w:numPr>
                <w:ilvl w:val="0"/>
                <w:numId w:val="30"/>
              </w:numPr>
              <w:kinsoku w:val="0"/>
              <w:overflowPunct w:val="0"/>
              <w:jc w:val="both"/>
              <w:textAlignment w:val="baseline"/>
              <w:rPr>
                <w:rFonts w:ascii="Arial" w:hAnsi="Arial" w:cs="Arial"/>
                <w:color w:val="000000" w:themeColor="text1"/>
                <w:sz w:val="20"/>
              </w:rPr>
            </w:pPr>
            <w:r w:rsidRPr="00506F58">
              <w:rPr>
                <w:rFonts w:ascii="Arial" w:hAnsi="Arial" w:cs="Arial"/>
                <w:color w:val="000000" w:themeColor="text1"/>
                <w:sz w:val="20"/>
              </w:rPr>
              <w:t>Vacunación</w:t>
            </w:r>
          </w:p>
          <w:p w:rsidR="0042204B" w:rsidRPr="00506F58" w:rsidRDefault="0042204B" w:rsidP="00710E0B">
            <w:pPr>
              <w:pStyle w:val="Prrafodelista"/>
              <w:numPr>
                <w:ilvl w:val="0"/>
                <w:numId w:val="30"/>
              </w:numPr>
              <w:kinsoku w:val="0"/>
              <w:overflowPunct w:val="0"/>
              <w:jc w:val="both"/>
              <w:textAlignment w:val="baseline"/>
              <w:rPr>
                <w:rFonts w:ascii="Arial" w:hAnsi="Arial" w:cs="Arial"/>
                <w:color w:val="000000" w:themeColor="text1"/>
                <w:sz w:val="20"/>
              </w:rPr>
            </w:pPr>
            <w:r w:rsidRPr="00506F58">
              <w:rPr>
                <w:rFonts w:ascii="Arial" w:hAnsi="Arial" w:cs="Arial"/>
                <w:color w:val="000000" w:themeColor="text1"/>
                <w:sz w:val="20"/>
              </w:rPr>
              <w:t>Coordinación Intersectorial</w:t>
            </w:r>
          </w:p>
          <w:p w:rsidR="00334EB9" w:rsidRPr="00506F58" w:rsidRDefault="00334EB9" w:rsidP="00334EB9">
            <w:pPr>
              <w:pStyle w:val="Prrafodelista"/>
              <w:kinsoku w:val="0"/>
              <w:overflowPunct w:val="0"/>
              <w:jc w:val="both"/>
              <w:textAlignment w:val="baseline"/>
              <w:rPr>
                <w:rFonts w:ascii="Arial" w:hAnsi="Arial" w:cs="Arial"/>
                <w:color w:val="000000" w:themeColor="text1"/>
                <w:sz w:val="20"/>
              </w:rPr>
            </w:pPr>
          </w:p>
          <w:p w:rsidR="00334EB9" w:rsidRPr="00506F58" w:rsidRDefault="00334EB9" w:rsidP="00334EB9">
            <w:pPr>
              <w:pStyle w:val="Prrafodelista"/>
              <w:kinsoku w:val="0"/>
              <w:overflowPunct w:val="0"/>
              <w:jc w:val="both"/>
              <w:textAlignment w:val="baseline"/>
              <w:rPr>
                <w:rFonts w:ascii="Arial" w:hAnsi="Arial" w:cs="Arial"/>
                <w:color w:val="000000" w:themeColor="text1"/>
                <w:sz w:val="20"/>
              </w:rPr>
            </w:pPr>
          </w:p>
          <w:p w:rsidR="00334EB9" w:rsidRPr="00506F58" w:rsidRDefault="00334EB9" w:rsidP="00334EB9">
            <w:pPr>
              <w:pStyle w:val="Prrafodelista"/>
              <w:numPr>
                <w:ilvl w:val="3"/>
                <w:numId w:val="1"/>
              </w:numPr>
              <w:kinsoku w:val="0"/>
              <w:overflowPunct w:val="0"/>
              <w:ind w:left="896"/>
              <w:jc w:val="both"/>
              <w:textAlignment w:val="baseline"/>
              <w:rPr>
                <w:rFonts w:ascii="Arial" w:hAnsi="Arial" w:cs="Arial"/>
                <w:b/>
                <w:color w:val="000000" w:themeColor="text1"/>
                <w:sz w:val="20"/>
              </w:rPr>
            </w:pPr>
            <w:r w:rsidRPr="00506F58">
              <w:rPr>
                <w:rFonts w:ascii="Arial" w:hAnsi="Arial" w:cs="Arial"/>
                <w:b/>
                <w:color w:val="000000" w:themeColor="text1"/>
                <w:sz w:val="20"/>
              </w:rPr>
              <w:t>TABLEROS DE CONTROL SIVIGILA</w:t>
            </w:r>
          </w:p>
          <w:p w:rsidR="0042204B" w:rsidRPr="00506F58" w:rsidRDefault="0042204B" w:rsidP="0042204B">
            <w:pPr>
              <w:pStyle w:val="Prrafodelista"/>
              <w:jc w:val="both"/>
              <w:rPr>
                <w:rFonts w:ascii="Arial" w:hAnsi="Arial" w:cs="Arial"/>
                <w:color w:val="000000" w:themeColor="text1"/>
                <w:sz w:val="20"/>
              </w:rPr>
            </w:pPr>
          </w:p>
          <w:p w:rsidR="00AC1696" w:rsidRPr="00506F58" w:rsidRDefault="00AC1696" w:rsidP="0042204B">
            <w:pPr>
              <w:pStyle w:val="Prrafodelista"/>
              <w:jc w:val="both"/>
              <w:rPr>
                <w:rFonts w:ascii="Arial" w:hAnsi="Arial" w:cs="Arial"/>
                <w:color w:val="000000" w:themeColor="text1"/>
                <w:sz w:val="20"/>
              </w:rPr>
            </w:pPr>
          </w:p>
          <w:p w:rsidR="006B23F3" w:rsidRPr="00506F58" w:rsidRDefault="00334EB9" w:rsidP="00814AB2">
            <w:pPr>
              <w:jc w:val="both"/>
              <w:rPr>
                <w:rFonts w:ascii="Arial" w:hAnsi="Arial" w:cs="Arial"/>
                <w:sz w:val="20"/>
              </w:rPr>
            </w:pPr>
            <w:r w:rsidRPr="00506F58">
              <w:rPr>
                <w:rFonts w:ascii="Arial" w:hAnsi="Arial" w:cs="Arial"/>
                <w:sz w:val="20"/>
              </w:rPr>
              <w:t xml:space="preserve">La profesional especializada de SIVIGILA realiza presentación </w:t>
            </w:r>
            <w:r w:rsidR="00DB7CD8" w:rsidRPr="00506F58">
              <w:rPr>
                <w:rFonts w:ascii="Arial" w:hAnsi="Arial" w:cs="Arial"/>
                <w:sz w:val="20"/>
              </w:rPr>
              <w:t>de los tableros de control de la localidad de suba se evidencia a estas UPGD sin ingreso total de laboratorios:</w:t>
            </w:r>
          </w:p>
          <w:tbl>
            <w:tblPr>
              <w:tblW w:w="5940" w:type="dxa"/>
              <w:tblCellMar>
                <w:left w:w="70" w:type="dxa"/>
                <w:right w:w="70" w:type="dxa"/>
              </w:tblCellMar>
              <w:tblLook w:val="04A0" w:firstRow="1" w:lastRow="0" w:firstColumn="1" w:lastColumn="0" w:noHBand="0" w:noVBand="1"/>
            </w:tblPr>
            <w:tblGrid>
              <w:gridCol w:w="5940"/>
            </w:tblGrid>
            <w:tr w:rsidR="00DB7CD8" w:rsidRPr="00DB7CD8" w:rsidTr="00DB7CD8">
              <w:trPr>
                <w:trHeight w:val="315"/>
              </w:trPr>
              <w:tc>
                <w:tcPr>
                  <w:tcW w:w="5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7CD8" w:rsidRPr="00DB7CD8" w:rsidRDefault="00DB7CD8" w:rsidP="00DB7CD8">
                  <w:pPr>
                    <w:rPr>
                      <w:rFonts w:ascii="Arial" w:hAnsi="Arial" w:cs="Arial"/>
                      <w:color w:val="000000"/>
                      <w:sz w:val="20"/>
                      <w:lang w:val="es-MX" w:eastAsia="es-MX"/>
                    </w:rPr>
                  </w:pPr>
                  <w:r w:rsidRPr="00DB7CD8">
                    <w:rPr>
                      <w:rFonts w:ascii="Arial" w:hAnsi="Arial" w:cs="Arial"/>
                      <w:color w:val="000000"/>
                      <w:sz w:val="20"/>
                      <w:lang w:val="es-MX" w:eastAsia="es-MX"/>
                    </w:rPr>
                    <w:t>CENTRO DE ATENCION EN SALUD CAFAM SUBA</w:t>
                  </w:r>
                </w:p>
              </w:tc>
            </w:tr>
            <w:tr w:rsidR="00DB7CD8" w:rsidRPr="00DB7CD8" w:rsidTr="00DB7CD8">
              <w:trPr>
                <w:trHeight w:val="315"/>
              </w:trPr>
              <w:tc>
                <w:tcPr>
                  <w:tcW w:w="5940" w:type="dxa"/>
                  <w:tcBorders>
                    <w:top w:val="nil"/>
                    <w:left w:val="single" w:sz="4" w:space="0" w:color="auto"/>
                    <w:bottom w:val="single" w:sz="4" w:space="0" w:color="auto"/>
                    <w:right w:val="single" w:sz="4" w:space="0" w:color="auto"/>
                  </w:tcBorders>
                  <w:shd w:val="clear" w:color="auto" w:fill="auto"/>
                  <w:noWrap/>
                  <w:vAlign w:val="bottom"/>
                  <w:hideMark/>
                </w:tcPr>
                <w:p w:rsidR="00DB7CD8" w:rsidRPr="00DB7CD8" w:rsidRDefault="00DB7CD8" w:rsidP="00DB7CD8">
                  <w:pPr>
                    <w:rPr>
                      <w:rFonts w:ascii="Arial" w:hAnsi="Arial" w:cs="Arial"/>
                      <w:color w:val="000000"/>
                      <w:sz w:val="20"/>
                      <w:lang w:val="es-MX" w:eastAsia="es-MX"/>
                    </w:rPr>
                  </w:pPr>
                  <w:r w:rsidRPr="00DB7CD8">
                    <w:rPr>
                      <w:rFonts w:ascii="Arial" w:hAnsi="Arial" w:cs="Arial"/>
                      <w:color w:val="000000"/>
                      <w:sz w:val="20"/>
                      <w:lang w:val="es-MX" w:eastAsia="es-MX"/>
                    </w:rPr>
                    <w:t>CLINICA ESIMED JORGE PIÑEROS CORPAS</w:t>
                  </w:r>
                </w:p>
              </w:tc>
            </w:tr>
            <w:tr w:rsidR="00DB7CD8" w:rsidRPr="00DB7CD8" w:rsidTr="00DB7CD8">
              <w:trPr>
                <w:trHeight w:val="315"/>
              </w:trPr>
              <w:tc>
                <w:tcPr>
                  <w:tcW w:w="5940" w:type="dxa"/>
                  <w:tcBorders>
                    <w:top w:val="nil"/>
                    <w:left w:val="single" w:sz="4" w:space="0" w:color="auto"/>
                    <w:bottom w:val="single" w:sz="4" w:space="0" w:color="auto"/>
                    <w:right w:val="single" w:sz="4" w:space="0" w:color="auto"/>
                  </w:tcBorders>
                  <w:shd w:val="clear" w:color="auto" w:fill="auto"/>
                  <w:noWrap/>
                  <w:vAlign w:val="bottom"/>
                  <w:hideMark/>
                </w:tcPr>
                <w:p w:rsidR="00DB7CD8" w:rsidRPr="00DB7CD8" w:rsidRDefault="00DB7CD8" w:rsidP="00DB7CD8">
                  <w:pPr>
                    <w:rPr>
                      <w:rFonts w:ascii="Arial" w:hAnsi="Arial" w:cs="Arial"/>
                      <w:color w:val="000000"/>
                      <w:sz w:val="20"/>
                      <w:lang w:val="es-MX" w:eastAsia="es-MX"/>
                    </w:rPr>
                  </w:pPr>
                  <w:r w:rsidRPr="00DB7CD8">
                    <w:rPr>
                      <w:rFonts w:ascii="Arial" w:hAnsi="Arial" w:cs="Arial"/>
                      <w:color w:val="000000"/>
                      <w:sz w:val="20"/>
                      <w:lang w:val="es-MX" w:eastAsia="es-MX"/>
                    </w:rPr>
                    <w:t>CLINICA JUAN N CORPAS LTDA</w:t>
                  </w:r>
                </w:p>
              </w:tc>
            </w:tr>
            <w:tr w:rsidR="00DB7CD8" w:rsidRPr="00DB7CD8" w:rsidTr="00DB7CD8">
              <w:trPr>
                <w:trHeight w:val="315"/>
              </w:trPr>
              <w:tc>
                <w:tcPr>
                  <w:tcW w:w="5940" w:type="dxa"/>
                  <w:tcBorders>
                    <w:top w:val="nil"/>
                    <w:left w:val="single" w:sz="4" w:space="0" w:color="auto"/>
                    <w:bottom w:val="single" w:sz="4" w:space="0" w:color="auto"/>
                    <w:right w:val="single" w:sz="4" w:space="0" w:color="auto"/>
                  </w:tcBorders>
                  <w:shd w:val="clear" w:color="auto" w:fill="auto"/>
                  <w:noWrap/>
                  <w:vAlign w:val="bottom"/>
                  <w:hideMark/>
                </w:tcPr>
                <w:p w:rsidR="00DB7CD8" w:rsidRPr="00DB7CD8" w:rsidRDefault="00DB7CD8" w:rsidP="00DB7CD8">
                  <w:pPr>
                    <w:rPr>
                      <w:rFonts w:ascii="Arial" w:hAnsi="Arial" w:cs="Arial"/>
                      <w:color w:val="000000"/>
                      <w:sz w:val="20"/>
                      <w:lang w:val="es-MX" w:eastAsia="es-MX"/>
                    </w:rPr>
                  </w:pPr>
                  <w:r w:rsidRPr="00DB7CD8">
                    <w:rPr>
                      <w:rFonts w:ascii="Arial" w:hAnsi="Arial" w:cs="Arial"/>
                      <w:color w:val="000000"/>
                      <w:sz w:val="20"/>
                      <w:lang w:val="es-MX" w:eastAsia="es-MX"/>
                    </w:rPr>
                    <w:t>UNIDAD DE SERVICIOS DE SALUD CENTRO DE SERVICIOS E</w:t>
                  </w:r>
                </w:p>
              </w:tc>
            </w:tr>
          </w:tbl>
          <w:p w:rsidR="00DB7CD8" w:rsidRPr="00506F58" w:rsidRDefault="00DB7CD8" w:rsidP="00814AB2">
            <w:pPr>
              <w:jc w:val="both"/>
              <w:rPr>
                <w:rFonts w:ascii="Arial" w:hAnsi="Arial" w:cs="Arial"/>
                <w:sz w:val="20"/>
                <w:lang w:val="es-MX"/>
              </w:rPr>
            </w:pPr>
          </w:p>
          <w:p w:rsidR="00C81C5B" w:rsidRPr="00506F58" w:rsidRDefault="006B23F3" w:rsidP="0067713E">
            <w:pPr>
              <w:jc w:val="both"/>
              <w:rPr>
                <w:rFonts w:ascii="Arial" w:hAnsi="Arial" w:cs="Arial"/>
                <w:sz w:val="20"/>
                <w:lang w:val="es-MX"/>
              </w:rPr>
            </w:pPr>
            <w:r w:rsidRPr="00506F58">
              <w:rPr>
                <w:rFonts w:ascii="Arial" w:hAnsi="Arial" w:cs="Arial"/>
                <w:sz w:val="20"/>
                <w:lang w:val="es-MX"/>
              </w:rPr>
              <w:t xml:space="preserve">Se les pide que revisen cada una en la unidad y sean ingresados los laboratorios correspondientes </w:t>
            </w:r>
            <w:r w:rsidR="00C06E41" w:rsidRPr="00506F58">
              <w:rPr>
                <w:rFonts w:ascii="Arial" w:hAnsi="Arial" w:cs="Arial"/>
                <w:sz w:val="20"/>
                <w:lang w:val="es-MX"/>
              </w:rPr>
              <w:t xml:space="preserve">para verificación el próximo mes, se manifiesta que si existen dudas de cualquier evento soliciten capacitación por cada uno de los referentes que hay en Vigilancia de Salud </w:t>
            </w:r>
            <w:r w:rsidR="0067713E" w:rsidRPr="00506F58">
              <w:rPr>
                <w:rFonts w:ascii="Arial" w:hAnsi="Arial" w:cs="Arial"/>
                <w:sz w:val="20"/>
                <w:lang w:val="es-MX"/>
              </w:rPr>
              <w:t>Pública</w:t>
            </w:r>
            <w:r w:rsidR="00C06E41" w:rsidRPr="00506F58">
              <w:rPr>
                <w:rFonts w:ascii="Arial" w:hAnsi="Arial" w:cs="Arial"/>
                <w:sz w:val="20"/>
                <w:lang w:val="es-MX"/>
              </w:rPr>
              <w:t xml:space="preserve"> para despejar cualquier inquietud</w:t>
            </w:r>
            <w:r w:rsidR="0067713E" w:rsidRPr="00506F58">
              <w:rPr>
                <w:rFonts w:ascii="Arial" w:hAnsi="Arial" w:cs="Arial"/>
                <w:sz w:val="20"/>
                <w:lang w:val="es-MX"/>
              </w:rPr>
              <w:t>.</w:t>
            </w:r>
          </w:p>
          <w:p w:rsidR="00C81C5B" w:rsidRPr="00506F58" w:rsidRDefault="00C81C5B" w:rsidP="0067713E">
            <w:pPr>
              <w:jc w:val="both"/>
              <w:rPr>
                <w:rFonts w:ascii="Arial" w:hAnsi="Arial" w:cs="Arial"/>
                <w:sz w:val="20"/>
                <w:lang w:val="es-MX"/>
              </w:rPr>
            </w:pPr>
            <w:r w:rsidRPr="00506F58">
              <w:rPr>
                <w:rFonts w:ascii="Arial" w:hAnsi="Arial" w:cs="Arial"/>
                <w:sz w:val="20"/>
                <w:lang w:val="es-MX"/>
              </w:rPr>
              <w:t>Se hace observación nuevamente de la notificación inmediata de los eventos en los que en este momento estamos en alerta, se recuerda también que esta notificación debe ser enviada con ficha y planos respectivamente para poder dar una respuesta oportuna a dichos eventos.</w:t>
            </w:r>
          </w:p>
          <w:p w:rsidR="00DB7CD8" w:rsidRPr="00506F58" w:rsidRDefault="00DB7CD8" w:rsidP="0067713E">
            <w:pPr>
              <w:jc w:val="both"/>
              <w:rPr>
                <w:rFonts w:ascii="Arial" w:hAnsi="Arial" w:cs="Arial"/>
                <w:sz w:val="20"/>
                <w:lang w:val="es-MX"/>
              </w:rPr>
            </w:pPr>
          </w:p>
          <w:p w:rsidR="00DB7CD8" w:rsidRPr="00506F58" w:rsidRDefault="00DB7CD8" w:rsidP="0067713E">
            <w:pPr>
              <w:jc w:val="both"/>
              <w:rPr>
                <w:rFonts w:ascii="Arial" w:hAnsi="Arial" w:cs="Arial"/>
                <w:sz w:val="20"/>
                <w:lang w:val="es-MX"/>
              </w:rPr>
            </w:pPr>
          </w:p>
          <w:p w:rsidR="0067713E" w:rsidRPr="00506F58" w:rsidRDefault="0067713E" w:rsidP="0067713E">
            <w:pPr>
              <w:pStyle w:val="Prrafodelista"/>
              <w:numPr>
                <w:ilvl w:val="3"/>
                <w:numId w:val="1"/>
              </w:numPr>
              <w:ind w:left="896" w:hanging="283"/>
              <w:jc w:val="both"/>
              <w:rPr>
                <w:rFonts w:ascii="Arial" w:hAnsi="Arial" w:cs="Arial"/>
                <w:b/>
                <w:sz w:val="20"/>
              </w:rPr>
            </w:pPr>
            <w:r w:rsidRPr="00506F58">
              <w:rPr>
                <w:rFonts w:ascii="Arial" w:hAnsi="Arial" w:cs="Arial"/>
                <w:b/>
                <w:sz w:val="20"/>
              </w:rPr>
              <w:t xml:space="preserve"> URGENCIAS Y EMERGENCIAS</w:t>
            </w:r>
          </w:p>
          <w:p w:rsidR="00AC1696" w:rsidRPr="00506F58" w:rsidRDefault="00AC1696" w:rsidP="0042204B">
            <w:pPr>
              <w:pStyle w:val="Prrafodelista"/>
              <w:jc w:val="both"/>
              <w:rPr>
                <w:rFonts w:ascii="Arial" w:hAnsi="Arial" w:cs="Arial"/>
                <w:color w:val="FF0000"/>
                <w:sz w:val="20"/>
              </w:rPr>
            </w:pPr>
          </w:p>
          <w:p w:rsidR="007E7F24" w:rsidRPr="00506F58" w:rsidRDefault="007E7F24" w:rsidP="007E7F24">
            <w:pPr>
              <w:jc w:val="both"/>
              <w:rPr>
                <w:rFonts w:ascii="Arial" w:hAnsi="Arial" w:cs="Arial"/>
                <w:bCs/>
                <w:sz w:val="20"/>
              </w:rPr>
            </w:pPr>
            <w:r w:rsidRPr="00506F58">
              <w:rPr>
                <w:rFonts w:ascii="Arial" w:hAnsi="Arial" w:cs="Arial"/>
                <w:bCs/>
                <w:sz w:val="20"/>
              </w:rPr>
              <w:t xml:space="preserve">Se realiza  socialización de alerta de Tos Ferina, La tos ferina es una enfermedad  bacteriana producida por la </w:t>
            </w:r>
            <w:proofErr w:type="spellStart"/>
            <w:r w:rsidRPr="00506F58">
              <w:rPr>
                <w:rFonts w:ascii="Arial" w:hAnsi="Arial" w:cs="Arial"/>
                <w:bCs/>
                <w:sz w:val="20"/>
              </w:rPr>
              <w:t>Bordetella</w:t>
            </w:r>
            <w:proofErr w:type="spellEnd"/>
            <w:r w:rsidRPr="00506F58">
              <w:rPr>
                <w:rFonts w:ascii="Arial" w:hAnsi="Arial" w:cs="Arial"/>
                <w:bCs/>
                <w:sz w:val="20"/>
              </w:rPr>
              <w:t xml:space="preserve"> </w:t>
            </w:r>
            <w:proofErr w:type="spellStart"/>
            <w:r w:rsidRPr="00506F58">
              <w:rPr>
                <w:rFonts w:ascii="Arial" w:hAnsi="Arial" w:cs="Arial"/>
                <w:bCs/>
                <w:sz w:val="20"/>
              </w:rPr>
              <w:t>pertussis</w:t>
            </w:r>
            <w:proofErr w:type="spellEnd"/>
            <w:r w:rsidRPr="00506F58">
              <w:rPr>
                <w:rFonts w:ascii="Arial" w:hAnsi="Arial" w:cs="Arial"/>
                <w:bCs/>
                <w:sz w:val="20"/>
              </w:rPr>
              <w:t xml:space="preserve">,  su transmisión es por vía respiratoria siendo  altamente contagiosa, endémica en cualquier época del año y con distribución mundial; se caracteriza por presentar ciclos epidémicos (cada tres a cuatro años), </w:t>
            </w:r>
            <w:r w:rsidRPr="00506F58">
              <w:rPr>
                <w:rFonts w:ascii="Arial" w:hAnsi="Arial" w:cs="Arial"/>
                <w:bCs/>
                <w:sz w:val="20"/>
              </w:rPr>
              <w:lastRenderedPageBreak/>
              <w:t>afectando a todos los ciclos vitales.</w:t>
            </w:r>
          </w:p>
          <w:p w:rsidR="007E7F24" w:rsidRPr="00506F58" w:rsidRDefault="007E7F24" w:rsidP="007E7F24">
            <w:pPr>
              <w:jc w:val="both"/>
              <w:rPr>
                <w:rFonts w:ascii="Arial" w:hAnsi="Arial" w:cs="Arial"/>
                <w:bCs/>
                <w:sz w:val="20"/>
              </w:rPr>
            </w:pPr>
            <w:r w:rsidRPr="00506F58">
              <w:rPr>
                <w:rFonts w:ascii="Arial" w:hAnsi="Arial" w:cs="Arial"/>
                <w:bCs/>
                <w:sz w:val="20"/>
              </w:rPr>
              <w:t>La principal medida de prevención  es la inmunización activa empleando vacuna bacteriana triple (difteria, tétanos y tos ferina —DPT).</w:t>
            </w:r>
          </w:p>
          <w:p w:rsidR="007E7F24" w:rsidRPr="00506F58" w:rsidRDefault="007E7F24" w:rsidP="007E7F24">
            <w:pPr>
              <w:jc w:val="both"/>
              <w:rPr>
                <w:rFonts w:ascii="Arial" w:hAnsi="Arial" w:cs="Arial"/>
                <w:bCs/>
                <w:sz w:val="20"/>
              </w:rPr>
            </w:pPr>
            <w:r w:rsidRPr="00506F58">
              <w:rPr>
                <w:rFonts w:ascii="Arial" w:hAnsi="Arial" w:cs="Arial"/>
                <w:bCs/>
                <w:sz w:val="20"/>
              </w:rPr>
              <w:t>La incidencia actual de la tos ferina se calcula en 3,6 casos por 100 000 habitantes en el mundo, EPV que aun  continua teniendo una  importante  morbilidad y mortalidad  en la población infantil con 50 millones de casos y 300 000 defunciones anuales.</w:t>
            </w:r>
          </w:p>
          <w:p w:rsidR="007E7F24" w:rsidRPr="00506F58" w:rsidRDefault="007E7F24" w:rsidP="007E7F24">
            <w:pPr>
              <w:jc w:val="both"/>
              <w:rPr>
                <w:rFonts w:ascii="Arial" w:hAnsi="Arial" w:cs="Arial"/>
                <w:bCs/>
                <w:sz w:val="20"/>
              </w:rPr>
            </w:pPr>
            <w:r w:rsidRPr="00506F58">
              <w:rPr>
                <w:rFonts w:ascii="Arial" w:hAnsi="Arial" w:cs="Arial"/>
                <w:bCs/>
                <w:sz w:val="20"/>
              </w:rPr>
              <w:t>Letalidad en países en desarrollo llega hasta un 4 % en los menores de 12 meses.</w:t>
            </w:r>
          </w:p>
          <w:p w:rsidR="007E7F24" w:rsidRPr="00506F58" w:rsidRDefault="007E7F24" w:rsidP="007E7F24">
            <w:pPr>
              <w:jc w:val="both"/>
              <w:rPr>
                <w:rFonts w:ascii="Arial" w:hAnsi="Arial" w:cs="Arial"/>
                <w:bCs/>
                <w:sz w:val="20"/>
              </w:rPr>
            </w:pPr>
            <w:r w:rsidRPr="00506F58">
              <w:rPr>
                <w:rFonts w:ascii="Arial" w:hAnsi="Arial" w:cs="Arial"/>
                <w:bCs/>
                <w:sz w:val="20"/>
              </w:rPr>
              <w:t xml:space="preserve">OMS: 2012 </w:t>
            </w:r>
            <w:proofErr w:type="spellStart"/>
            <w:r w:rsidRPr="00506F58">
              <w:rPr>
                <w:rFonts w:ascii="Arial" w:hAnsi="Arial" w:cs="Arial"/>
                <w:bCs/>
                <w:sz w:val="20"/>
              </w:rPr>
              <w:t>Esta</w:t>
            </w:r>
            <w:proofErr w:type="spellEnd"/>
            <w:r w:rsidRPr="00506F58">
              <w:rPr>
                <w:rFonts w:ascii="Arial" w:hAnsi="Arial" w:cs="Arial"/>
                <w:bCs/>
                <w:sz w:val="20"/>
              </w:rPr>
              <w:t xml:space="preserve"> lejos la erradicación de la tos ferina: 62 % de los casos reportados en el mundo correspondieron a menores de un año y 32 % menores de tres meses de edad. Dos tercios de los pacientes eran contagiados por sus familiares (padre, madre o hermanos).</w:t>
            </w:r>
          </w:p>
          <w:p w:rsidR="007E7F24" w:rsidRPr="00506F58" w:rsidRDefault="007E7F24" w:rsidP="007E7F24">
            <w:pPr>
              <w:jc w:val="both"/>
              <w:rPr>
                <w:rFonts w:ascii="Arial" w:hAnsi="Arial" w:cs="Arial"/>
                <w:bCs/>
                <w:sz w:val="20"/>
              </w:rPr>
            </w:pPr>
            <w:r w:rsidRPr="00506F58">
              <w:rPr>
                <w:rFonts w:ascii="Arial" w:hAnsi="Arial" w:cs="Arial"/>
                <w:bCs/>
                <w:sz w:val="20"/>
              </w:rPr>
              <w:t>En las Américas: casos anuales registrados  entre 15 000 y 34 000 en los últimos diez años.</w:t>
            </w:r>
          </w:p>
          <w:p w:rsidR="007E7F24" w:rsidRPr="00506F58" w:rsidRDefault="007E7F24" w:rsidP="007E7F24">
            <w:pPr>
              <w:jc w:val="both"/>
              <w:rPr>
                <w:rFonts w:ascii="Arial" w:hAnsi="Arial" w:cs="Arial"/>
                <w:bCs/>
                <w:sz w:val="20"/>
              </w:rPr>
            </w:pPr>
            <w:r w:rsidRPr="00506F58">
              <w:rPr>
                <w:rFonts w:ascii="Arial" w:hAnsi="Arial" w:cs="Arial"/>
                <w:bCs/>
                <w:sz w:val="20"/>
              </w:rPr>
              <w:t xml:space="preserve"> Año 2000 se  empezaron a documentar brotes en EEUU en lactantes y  aumento de casos en  adolescentes durante 2004 y 2005  a partir del cual se ha evidenciado un aumento sostenido de la enfermedad, a nivel mundial.</w:t>
            </w:r>
          </w:p>
          <w:p w:rsidR="007E7F24" w:rsidRPr="00506F58" w:rsidRDefault="007E7F24" w:rsidP="007E7F24">
            <w:pPr>
              <w:jc w:val="both"/>
              <w:rPr>
                <w:rFonts w:ascii="Arial" w:hAnsi="Arial" w:cs="Arial"/>
                <w:bCs/>
                <w:sz w:val="20"/>
              </w:rPr>
            </w:pPr>
            <w:r w:rsidRPr="00506F58">
              <w:rPr>
                <w:rFonts w:ascii="Arial" w:hAnsi="Arial" w:cs="Arial"/>
                <w:bCs/>
                <w:sz w:val="20"/>
              </w:rPr>
              <w:t>Marzo de  2012 la OMS  alertó a   los países miembros frente al aumento de casos en Inglaterra, Australia y España entre otros países, en Noviembre la OPS    confirmo el aumento de casos durante el mismo año  en 9 países de las Américas.</w:t>
            </w:r>
          </w:p>
          <w:p w:rsidR="007E7F24" w:rsidRPr="00506F58" w:rsidRDefault="007E7F24" w:rsidP="007E7F24">
            <w:pPr>
              <w:jc w:val="both"/>
              <w:rPr>
                <w:rFonts w:ascii="Arial" w:hAnsi="Arial" w:cs="Arial"/>
                <w:bCs/>
                <w:sz w:val="20"/>
              </w:rPr>
            </w:pPr>
            <w:r w:rsidRPr="00506F58">
              <w:rPr>
                <w:rFonts w:ascii="Arial" w:hAnsi="Arial" w:cs="Arial"/>
                <w:bCs/>
                <w:sz w:val="20"/>
              </w:rPr>
              <w:t>Bogotá: incidencia de 5,11 casos por 100 mil habitantes en el 2011, y 9,13 en 2012, de estos casos el 80% correspondieron a menores de un año de edad (637 casos). La letalidad fue de 3,4% (23 muertes) todos las mortalidades se dieron en niños menores de 6 meses.</w:t>
            </w:r>
          </w:p>
          <w:p w:rsidR="007E7F24" w:rsidRPr="00506F58" w:rsidRDefault="007E7F24" w:rsidP="007E7F24">
            <w:pPr>
              <w:jc w:val="both"/>
              <w:rPr>
                <w:rFonts w:ascii="Arial" w:hAnsi="Arial" w:cs="Arial"/>
                <w:bCs/>
                <w:sz w:val="20"/>
              </w:rPr>
            </w:pPr>
            <w:r w:rsidRPr="00506F58">
              <w:rPr>
                <w:rFonts w:ascii="Arial" w:hAnsi="Arial" w:cs="Arial"/>
                <w:bCs/>
                <w:sz w:val="20"/>
              </w:rPr>
              <w:t>En el año 2012 la SDS decidió instaurar  como estrategia complementaria, vacunar a todas las mujeres embarazadas con el objeto de disminuir la mortalidad en lactantes menores de 3 meses, en el año 2013  se  evidenció una  disminución del 70%  de los casos de tos ferina en niños menores de seis meses; disminución en la mortalidad del 88% al pasar de  23 niños fallecidos  en el 2012 a tres en el año 2013.</w:t>
            </w:r>
          </w:p>
          <w:p w:rsidR="007E7F24" w:rsidRPr="00506F58" w:rsidRDefault="007E7F24" w:rsidP="007E7F24">
            <w:pPr>
              <w:pStyle w:val="Prrafodelista"/>
              <w:ind w:left="360"/>
              <w:jc w:val="both"/>
              <w:rPr>
                <w:rFonts w:ascii="Arial" w:hAnsi="Arial" w:cs="Arial"/>
                <w:bCs/>
                <w:sz w:val="20"/>
              </w:rPr>
            </w:pPr>
          </w:p>
          <w:p w:rsidR="007E7F24" w:rsidRPr="00506F58" w:rsidRDefault="007E7F24" w:rsidP="007E7F24">
            <w:pPr>
              <w:jc w:val="both"/>
              <w:rPr>
                <w:rFonts w:ascii="Arial" w:hAnsi="Arial" w:cs="Arial"/>
                <w:bCs/>
                <w:sz w:val="20"/>
              </w:rPr>
            </w:pPr>
            <w:r w:rsidRPr="00506F58">
              <w:rPr>
                <w:rFonts w:ascii="Arial" w:hAnsi="Arial" w:cs="Arial"/>
                <w:bCs/>
                <w:sz w:val="20"/>
              </w:rPr>
              <w:t>Agente etiológico:</w:t>
            </w:r>
            <w:r w:rsidRPr="00506F58">
              <w:rPr>
                <w:rFonts w:ascii="Arial" w:hAnsi="Arial" w:cs="Arial"/>
                <w:sz w:val="20"/>
              </w:rPr>
              <w:t xml:space="preserve"> </w:t>
            </w:r>
            <w:r w:rsidRPr="00506F58">
              <w:rPr>
                <w:rFonts w:ascii="Arial" w:hAnsi="Arial" w:cs="Arial"/>
                <w:bCs/>
                <w:sz w:val="20"/>
              </w:rPr>
              <w:t xml:space="preserve">La tos ferina es una enfermedad causada principalmente por </w:t>
            </w:r>
            <w:proofErr w:type="spellStart"/>
            <w:r w:rsidRPr="00506F58">
              <w:rPr>
                <w:rFonts w:ascii="Arial" w:hAnsi="Arial" w:cs="Arial"/>
                <w:bCs/>
                <w:sz w:val="20"/>
              </w:rPr>
              <w:t>Bordetella</w:t>
            </w:r>
            <w:proofErr w:type="spellEnd"/>
            <w:r w:rsidRPr="00506F58">
              <w:rPr>
                <w:rFonts w:ascii="Arial" w:hAnsi="Arial" w:cs="Arial"/>
                <w:bCs/>
                <w:sz w:val="20"/>
              </w:rPr>
              <w:t xml:space="preserve"> </w:t>
            </w:r>
            <w:proofErr w:type="spellStart"/>
            <w:r w:rsidRPr="00506F58">
              <w:rPr>
                <w:rFonts w:ascii="Arial" w:hAnsi="Arial" w:cs="Arial"/>
                <w:bCs/>
                <w:sz w:val="20"/>
              </w:rPr>
              <w:t>pertussis</w:t>
            </w:r>
            <w:proofErr w:type="spellEnd"/>
            <w:r w:rsidRPr="00506F58">
              <w:rPr>
                <w:rFonts w:ascii="Arial" w:hAnsi="Arial" w:cs="Arial"/>
                <w:bCs/>
                <w:sz w:val="20"/>
              </w:rPr>
              <w:t xml:space="preserve">, sin embargo existen otras especies del género </w:t>
            </w:r>
            <w:proofErr w:type="spellStart"/>
            <w:r w:rsidRPr="00506F58">
              <w:rPr>
                <w:rFonts w:ascii="Arial" w:hAnsi="Arial" w:cs="Arial"/>
                <w:bCs/>
                <w:sz w:val="20"/>
              </w:rPr>
              <w:t>Bordetella</w:t>
            </w:r>
            <w:proofErr w:type="spellEnd"/>
            <w:r w:rsidRPr="00506F58">
              <w:rPr>
                <w:rFonts w:ascii="Arial" w:hAnsi="Arial" w:cs="Arial"/>
                <w:bCs/>
                <w:sz w:val="20"/>
              </w:rPr>
              <w:t xml:space="preserve"> que puedan causar infección respiratoria como B. </w:t>
            </w:r>
            <w:proofErr w:type="spellStart"/>
            <w:r w:rsidRPr="00506F58">
              <w:rPr>
                <w:rFonts w:ascii="Arial" w:hAnsi="Arial" w:cs="Arial"/>
                <w:bCs/>
                <w:sz w:val="20"/>
              </w:rPr>
              <w:t>parapertussis</w:t>
            </w:r>
            <w:proofErr w:type="spellEnd"/>
            <w:r w:rsidRPr="00506F58">
              <w:rPr>
                <w:rFonts w:ascii="Arial" w:hAnsi="Arial" w:cs="Arial"/>
                <w:bCs/>
                <w:sz w:val="20"/>
              </w:rPr>
              <w:t xml:space="preserve">, B. </w:t>
            </w:r>
            <w:proofErr w:type="spellStart"/>
            <w:r w:rsidRPr="00506F58">
              <w:rPr>
                <w:rFonts w:ascii="Arial" w:hAnsi="Arial" w:cs="Arial"/>
                <w:bCs/>
                <w:sz w:val="20"/>
              </w:rPr>
              <w:t>holmesii</w:t>
            </w:r>
            <w:proofErr w:type="spellEnd"/>
            <w:r w:rsidRPr="00506F58">
              <w:rPr>
                <w:rFonts w:ascii="Arial" w:hAnsi="Arial" w:cs="Arial"/>
                <w:bCs/>
                <w:sz w:val="20"/>
              </w:rPr>
              <w:t xml:space="preserve"> y B. </w:t>
            </w:r>
            <w:proofErr w:type="spellStart"/>
            <w:r w:rsidRPr="00506F58">
              <w:rPr>
                <w:rFonts w:ascii="Arial" w:hAnsi="Arial" w:cs="Arial"/>
                <w:bCs/>
                <w:sz w:val="20"/>
              </w:rPr>
              <w:t>bronchiseptica</w:t>
            </w:r>
            <w:proofErr w:type="spellEnd"/>
            <w:r w:rsidRPr="00506F58">
              <w:rPr>
                <w:rFonts w:ascii="Arial" w:hAnsi="Arial" w:cs="Arial"/>
                <w:bCs/>
                <w:sz w:val="20"/>
              </w:rPr>
              <w:t xml:space="preserve"> este último conocido como un patógeno animal pero que rara vez infecta a personas inmunocomprometidas. </w:t>
            </w:r>
          </w:p>
          <w:p w:rsidR="007E7F24" w:rsidRPr="00506F58" w:rsidRDefault="007E7F24" w:rsidP="007E7F24">
            <w:pPr>
              <w:pStyle w:val="Prrafodelista"/>
              <w:widowControl w:val="0"/>
              <w:autoSpaceDE w:val="0"/>
              <w:autoSpaceDN w:val="0"/>
              <w:adjustRightInd w:val="0"/>
              <w:spacing w:after="240"/>
              <w:ind w:left="360"/>
              <w:jc w:val="both"/>
              <w:rPr>
                <w:rFonts w:ascii="Arial" w:hAnsi="Arial" w:cs="Arial"/>
                <w:sz w:val="20"/>
              </w:rPr>
            </w:pPr>
            <w:r w:rsidRPr="00506F58">
              <w:rPr>
                <w:rFonts w:ascii="Arial" w:hAnsi="Arial" w:cs="Arial"/>
                <w:bCs/>
                <w:sz w:val="20"/>
              </w:rPr>
              <w:t xml:space="preserve">Modo de transmisión: </w:t>
            </w:r>
            <w:r w:rsidRPr="00506F58">
              <w:rPr>
                <w:rFonts w:ascii="Arial" w:hAnsi="Arial" w:cs="Arial"/>
                <w:sz w:val="20"/>
              </w:rPr>
              <w:t>El agente causal de la Tos ferina se transmite por contacto directo (persona a persona) a través de las gotas de secreciones de las mucosas respiratorias de una persona infectada a una susceptible en un rango de un metro de distancia.</w:t>
            </w:r>
          </w:p>
          <w:p w:rsidR="007E7F24" w:rsidRPr="00506F58" w:rsidRDefault="007E7F24" w:rsidP="007E7F24">
            <w:pPr>
              <w:pStyle w:val="Prrafodelista"/>
              <w:widowControl w:val="0"/>
              <w:numPr>
                <w:ilvl w:val="0"/>
                <w:numId w:val="2"/>
              </w:numPr>
              <w:autoSpaceDE w:val="0"/>
              <w:autoSpaceDN w:val="0"/>
              <w:adjustRightInd w:val="0"/>
              <w:spacing w:after="240"/>
              <w:jc w:val="both"/>
              <w:rPr>
                <w:rFonts w:ascii="Arial" w:hAnsi="Arial" w:cs="Arial"/>
                <w:sz w:val="20"/>
              </w:rPr>
            </w:pPr>
            <w:r w:rsidRPr="00506F58">
              <w:rPr>
                <w:rFonts w:ascii="Arial" w:hAnsi="Arial" w:cs="Arial"/>
                <w:sz w:val="20"/>
              </w:rPr>
              <w:t xml:space="preserve">Período de incubación: 6 y 10 días, con un rango de 4 a 21 días. </w:t>
            </w:r>
          </w:p>
          <w:p w:rsidR="007E7F24" w:rsidRPr="00506F58" w:rsidRDefault="007E7F24" w:rsidP="007E7F24">
            <w:pPr>
              <w:widowControl w:val="0"/>
              <w:autoSpaceDE w:val="0"/>
              <w:autoSpaceDN w:val="0"/>
              <w:adjustRightInd w:val="0"/>
              <w:spacing w:after="240"/>
              <w:jc w:val="both"/>
              <w:rPr>
                <w:rFonts w:ascii="Arial" w:hAnsi="Arial" w:cs="Arial"/>
                <w:sz w:val="20"/>
              </w:rPr>
            </w:pPr>
            <w:r w:rsidRPr="00506F58">
              <w:rPr>
                <w:rFonts w:ascii="Arial" w:hAnsi="Arial" w:cs="Arial"/>
                <w:sz w:val="20"/>
              </w:rPr>
              <w:t xml:space="preserve">Período de transmisibilidad: Es especialmente transmisible en la fase catarral temprana antes de la tos paroxística; por ello las mejores muestras en una investigación de campo son las de los contactos que apenas inician síntomas (5 a 7 días); esta transmisibilidad disminuye poco a poco y llega a sus niveles más bajos en una a tres semanas. </w:t>
            </w:r>
          </w:p>
          <w:p w:rsidR="007E7F24" w:rsidRPr="00506F58" w:rsidRDefault="007E7F24" w:rsidP="007E7F24">
            <w:pPr>
              <w:widowControl w:val="0"/>
              <w:autoSpaceDE w:val="0"/>
              <w:autoSpaceDN w:val="0"/>
              <w:adjustRightInd w:val="0"/>
              <w:spacing w:after="240"/>
              <w:jc w:val="both"/>
              <w:rPr>
                <w:rFonts w:ascii="Arial" w:hAnsi="Arial" w:cs="Arial"/>
                <w:sz w:val="20"/>
              </w:rPr>
            </w:pPr>
            <w:r w:rsidRPr="00506F58">
              <w:rPr>
                <w:rFonts w:ascii="Arial" w:hAnsi="Arial" w:cs="Arial"/>
                <w:sz w:val="20"/>
              </w:rPr>
              <w:t xml:space="preserve">Con fines de control, se considera que la transmisibilidad se extiende desde la fase catarral hasta tres semanas después de comenzar los paroxismos, en pacientes que no han recibido tratamiento con antibiótico que sean contacto estrecho. </w:t>
            </w:r>
          </w:p>
          <w:p w:rsidR="007E7F24" w:rsidRPr="00506F58" w:rsidRDefault="007E7F24" w:rsidP="007E7F24">
            <w:pPr>
              <w:widowControl w:val="0"/>
              <w:autoSpaceDE w:val="0"/>
              <w:autoSpaceDN w:val="0"/>
              <w:adjustRightInd w:val="0"/>
              <w:spacing w:after="240"/>
              <w:jc w:val="both"/>
              <w:rPr>
                <w:rFonts w:ascii="Arial" w:hAnsi="Arial" w:cs="Arial"/>
                <w:sz w:val="20"/>
              </w:rPr>
            </w:pPr>
            <w:r w:rsidRPr="00506F58">
              <w:rPr>
                <w:rFonts w:ascii="Arial" w:hAnsi="Arial" w:cs="Arial"/>
                <w:sz w:val="20"/>
              </w:rPr>
              <w:t xml:space="preserve">En caso de haberse iniciado terapia antimicrobiana, el periodo de infección puede durar alrededor de cinco días o menos, después de iniciar la </w:t>
            </w:r>
            <w:proofErr w:type="spellStart"/>
            <w:r w:rsidRPr="00506F58">
              <w:rPr>
                <w:rFonts w:ascii="Arial" w:hAnsi="Arial" w:cs="Arial"/>
                <w:sz w:val="20"/>
              </w:rPr>
              <w:t>antibioticoterapia</w:t>
            </w:r>
            <w:proofErr w:type="spellEnd"/>
            <w:r w:rsidRPr="00506F58">
              <w:rPr>
                <w:rFonts w:ascii="Arial" w:hAnsi="Arial" w:cs="Arial"/>
                <w:sz w:val="20"/>
              </w:rPr>
              <w:t xml:space="preserve"> (principalmente con </w:t>
            </w:r>
            <w:proofErr w:type="spellStart"/>
            <w:r w:rsidRPr="00506F58">
              <w:rPr>
                <w:rFonts w:ascii="Arial" w:hAnsi="Arial" w:cs="Arial"/>
                <w:sz w:val="20"/>
              </w:rPr>
              <w:t>eritromicina</w:t>
            </w:r>
            <w:proofErr w:type="spellEnd"/>
            <w:r w:rsidRPr="00506F58">
              <w:rPr>
                <w:rFonts w:ascii="Arial" w:hAnsi="Arial" w:cs="Arial"/>
                <w:sz w:val="20"/>
              </w:rPr>
              <w:t xml:space="preserve">). </w:t>
            </w:r>
          </w:p>
          <w:p w:rsidR="007E7F24" w:rsidRPr="00506F58" w:rsidRDefault="007E7F24" w:rsidP="007E7F24">
            <w:pPr>
              <w:widowControl w:val="0"/>
              <w:autoSpaceDE w:val="0"/>
              <w:autoSpaceDN w:val="0"/>
              <w:adjustRightInd w:val="0"/>
              <w:spacing w:after="240"/>
              <w:jc w:val="both"/>
              <w:rPr>
                <w:rFonts w:ascii="Arial" w:hAnsi="Arial" w:cs="Arial"/>
                <w:sz w:val="20"/>
              </w:rPr>
            </w:pPr>
            <w:r w:rsidRPr="00506F58">
              <w:rPr>
                <w:rFonts w:ascii="Arial" w:hAnsi="Arial" w:cs="Arial"/>
                <w:sz w:val="20"/>
              </w:rPr>
              <w:t xml:space="preserve">Toma de muestras: Idealmente deben tomarse dos </w:t>
            </w:r>
            <w:r w:rsidRPr="00506F58">
              <w:rPr>
                <w:rFonts w:ascii="Arial" w:hAnsi="Arial" w:cs="Arial"/>
                <w:bCs/>
                <w:sz w:val="20"/>
              </w:rPr>
              <w:t xml:space="preserve">aspirados nasofaríngeos (AN) </w:t>
            </w:r>
            <w:r w:rsidRPr="00506F58">
              <w:rPr>
                <w:rFonts w:ascii="Arial" w:hAnsi="Arial" w:cs="Arial"/>
                <w:sz w:val="20"/>
              </w:rPr>
              <w:t xml:space="preserve">o dos </w:t>
            </w:r>
            <w:r w:rsidRPr="00506F58">
              <w:rPr>
                <w:rFonts w:ascii="Arial" w:hAnsi="Arial" w:cs="Arial"/>
                <w:bCs/>
                <w:sz w:val="20"/>
              </w:rPr>
              <w:t>hisopados</w:t>
            </w:r>
          </w:p>
          <w:p w:rsidR="007E7F24" w:rsidRPr="00506F58" w:rsidRDefault="007E7F24" w:rsidP="007E7F24">
            <w:pPr>
              <w:widowControl w:val="0"/>
              <w:autoSpaceDE w:val="0"/>
              <w:autoSpaceDN w:val="0"/>
              <w:adjustRightInd w:val="0"/>
              <w:spacing w:after="240"/>
              <w:jc w:val="both"/>
              <w:rPr>
                <w:rFonts w:ascii="Arial" w:hAnsi="Arial" w:cs="Arial"/>
                <w:sz w:val="20"/>
              </w:rPr>
            </w:pPr>
            <w:proofErr w:type="gramStart"/>
            <w:r w:rsidRPr="00506F58">
              <w:rPr>
                <w:rFonts w:ascii="Arial" w:hAnsi="Arial" w:cs="Arial"/>
                <w:bCs/>
                <w:sz w:val="20"/>
              </w:rPr>
              <w:t>nasofaríngeos</w:t>
            </w:r>
            <w:proofErr w:type="gramEnd"/>
            <w:r w:rsidRPr="00506F58">
              <w:rPr>
                <w:rFonts w:ascii="Arial" w:hAnsi="Arial" w:cs="Arial"/>
                <w:bCs/>
                <w:sz w:val="20"/>
              </w:rPr>
              <w:t xml:space="preserve"> (HN)</w:t>
            </w:r>
            <w:r w:rsidRPr="00506F58">
              <w:rPr>
                <w:rFonts w:ascii="Arial" w:hAnsi="Arial" w:cs="Arial"/>
                <w:sz w:val="20"/>
              </w:rPr>
              <w:t xml:space="preserve">, uno para cultivo y otro para una prueba de PCR; las puntas de los hisopos pueden ser de </w:t>
            </w:r>
            <w:r w:rsidRPr="00506F58">
              <w:rPr>
                <w:rFonts w:ascii="Arial" w:hAnsi="Arial" w:cs="Arial"/>
                <w:sz w:val="20"/>
              </w:rPr>
              <w:lastRenderedPageBreak/>
              <w:t xml:space="preserve">poliéster, </w:t>
            </w:r>
            <w:proofErr w:type="spellStart"/>
            <w:r w:rsidRPr="00506F58">
              <w:rPr>
                <w:rFonts w:ascii="Arial" w:hAnsi="Arial" w:cs="Arial"/>
                <w:sz w:val="20"/>
              </w:rPr>
              <w:t>dacrón</w:t>
            </w:r>
            <w:proofErr w:type="spellEnd"/>
            <w:r w:rsidRPr="00506F58">
              <w:rPr>
                <w:rFonts w:ascii="Arial" w:hAnsi="Arial" w:cs="Arial"/>
                <w:sz w:val="20"/>
              </w:rPr>
              <w:t xml:space="preserve">, rayón o nylon, el mango del hisopo debe ser de aluminio o plástico flexible, no son aceptados los hisopos de punta de algodón o de </w:t>
            </w:r>
            <w:proofErr w:type="spellStart"/>
            <w:r w:rsidRPr="00506F58">
              <w:rPr>
                <w:rFonts w:ascii="Arial" w:hAnsi="Arial" w:cs="Arial"/>
                <w:sz w:val="20"/>
              </w:rPr>
              <w:t>alginato</w:t>
            </w:r>
            <w:proofErr w:type="spellEnd"/>
            <w:r w:rsidRPr="00506F58">
              <w:rPr>
                <w:rFonts w:ascii="Arial" w:hAnsi="Arial" w:cs="Arial"/>
                <w:sz w:val="20"/>
              </w:rPr>
              <w:t xml:space="preserve"> de calcio por que los residuos presentes en estos materiales pueden inhibir las pruebas.</w:t>
            </w:r>
          </w:p>
          <w:p w:rsidR="007E7F24" w:rsidRPr="00506F58" w:rsidRDefault="007E7F24" w:rsidP="007E7F24">
            <w:pPr>
              <w:widowControl w:val="0"/>
              <w:autoSpaceDE w:val="0"/>
              <w:autoSpaceDN w:val="0"/>
              <w:adjustRightInd w:val="0"/>
              <w:spacing w:after="240"/>
              <w:jc w:val="both"/>
              <w:rPr>
                <w:rFonts w:ascii="Arial" w:hAnsi="Arial" w:cs="Arial"/>
                <w:sz w:val="20"/>
              </w:rPr>
            </w:pPr>
            <w:r w:rsidRPr="00506F58">
              <w:rPr>
                <w:rFonts w:ascii="Arial" w:hAnsi="Arial" w:cs="Arial"/>
                <w:sz w:val="20"/>
              </w:rPr>
              <w:t>Cuando el niño o la persona hayan iniciado el tratamiento antimicrobiano, es recomendable tomar la muestra antes del inicio del tratamiento, pues esto contribuiría a un mejor diagnóstico por el laboratorio. Las muestras de PCR se pueden tomar máximo 72 horas después de iniciar tratamiento antimicrobiano para evitar resultados falsos negativos.</w:t>
            </w:r>
          </w:p>
          <w:p w:rsidR="007E7F24" w:rsidRPr="00506F58" w:rsidRDefault="007E7F24" w:rsidP="007E7F24">
            <w:pPr>
              <w:widowControl w:val="0"/>
              <w:autoSpaceDE w:val="0"/>
              <w:autoSpaceDN w:val="0"/>
              <w:adjustRightInd w:val="0"/>
              <w:spacing w:after="240"/>
              <w:jc w:val="both"/>
              <w:rPr>
                <w:rFonts w:ascii="Arial" w:hAnsi="Arial" w:cs="Arial"/>
                <w:sz w:val="20"/>
              </w:rPr>
            </w:pPr>
            <w:r w:rsidRPr="00506F58">
              <w:rPr>
                <w:rFonts w:ascii="Arial" w:hAnsi="Arial" w:cs="Arial"/>
                <w:sz w:val="20"/>
              </w:rPr>
              <w:t>Las muestras para el estudio de contactos o de casos en trabajo de campo se deben tomar mediante hisopado nasofaríngeo (cabe destacar que en el campo es muy importante separar áreas de vacunación y áreas de toma de muestra, y en caso de no ser posible, tomar las muestras respectivas antes de vacunar; así se limita el riesgo de contaminación cruzada que tiende a alterar la PCR).</w:t>
            </w:r>
          </w:p>
          <w:p w:rsidR="007E7F24" w:rsidRPr="00506F58" w:rsidRDefault="007E7F24" w:rsidP="007E7F24">
            <w:pPr>
              <w:widowControl w:val="0"/>
              <w:autoSpaceDE w:val="0"/>
              <w:autoSpaceDN w:val="0"/>
              <w:adjustRightInd w:val="0"/>
              <w:spacing w:after="240"/>
              <w:jc w:val="both"/>
              <w:rPr>
                <w:rFonts w:ascii="Arial" w:hAnsi="Arial" w:cs="Arial"/>
                <w:sz w:val="20"/>
              </w:rPr>
            </w:pPr>
            <w:r w:rsidRPr="00506F58">
              <w:rPr>
                <w:rFonts w:ascii="Arial" w:hAnsi="Arial" w:cs="Arial"/>
                <w:sz w:val="20"/>
              </w:rPr>
              <w:t>La toma de muestras en pacientes hospitalizados debe hacerse mediante aspirado nasofaríngeo con sonda estéril. En casos de brotes es importante tomar muestras adicionales para diagnósticos diferenciales.</w:t>
            </w:r>
          </w:p>
          <w:p w:rsidR="0067713E" w:rsidRPr="00506F58" w:rsidRDefault="009909D2" w:rsidP="0067713E">
            <w:pPr>
              <w:jc w:val="both"/>
              <w:rPr>
                <w:rFonts w:ascii="Arial" w:hAnsi="Arial" w:cs="Arial"/>
                <w:sz w:val="20"/>
              </w:rPr>
            </w:pPr>
            <w:r w:rsidRPr="00506F58">
              <w:rPr>
                <w:rFonts w:ascii="Arial" w:hAnsi="Arial" w:cs="Arial"/>
                <w:sz w:val="20"/>
              </w:rPr>
              <w:t xml:space="preserve">. </w:t>
            </w:r>
          </w:p>
          <w:p w:rsidR="00CA7085" w:rsidRPr="00506F58" w:rsidRDefault="00CA7085">
            <w:pPr>
              <w:rPr>
                <w:rFonts w:ascii="Arial" w:hAnsi="Arial" w:cs="Arial"/>
                <w:b/>
                <w:sz w:val="20"/>
              </w:rPr>
            </w:pPr>
          </w:p>
        </w:tc>
      </w:tr>
      <w:tr w:rsidR="00CA7085" w:rsidRPr="00506F58">
        <w:trPr>
          <w:trHeight w:val="382"/>
        </w:trPr>
        <w:tc>
          <w:tcPr>
            <w:tcW w:w="10321" w:type="dxa"/>
            <w:gridSpan w:val="3"/>
            <w:tcBorders>
              <w:top w:val="double" w:sz="4" w:space="0" w:color="00000A"/>
              <w:left w:val="double" w:sz="4" w:space="0" w:color="00000A"/>
              <w:bottom w:val="double" w:sz="4" w:space="0" w:color="00000A"/>
              <w:right w:val="double" w:sz="4" w:space="0" w:color="00000A"/>
            </w:tcBorders>
            <w:shd w:val="clear" w:color="auto" w:fill="auto"/>
            <w:tcMar>
              <w:left w:w="69" w:type="dxa"/>
            </w:tcMar>
          </w:tcPr>
          <w:p w:rsidR="00CA7085" w:rsidRPr="00506F58" w:rsidRDefault="00C402B7">
            <w:pPr>
              <w:rPr>
                <w:rFonts w:ascii="Arial" w:hAnsi="Arial" w:cs="Arial"/>
                <w:sz w:val="20"/>
              </w:rPr>
            </w:pPr>
            <w:r w:rsidRPr="00506F58">
              <w:rPr>
                <w:rFonts w:ascii="Arial" w:hAnsi="Arial" w:cs="Arial"/>
                <w:b/>
                <w:sz w:val="20"/>
              </w:rPr>
              <w:lastRenderedPageBreak/>
              <w:t>DECISIONES Y CONCLUSIONES</w:t>
            </w:r>
          </w:p>
        </w:tc>
      </w:tr>
      <w:tr w:rsidR="00CA7085" w:rsidRPr="00506F58">
        <w:trPr>
          <w:trHeight w:val="1629"/>
        </w:trPr>
        <w:tc>
          <w:tcPr>
            <w:tcW w:w="10321" w:type="dxa"/>
            <w:gridSpan w:val="3"/>
            <w:tcBorders>
              <w:top w:val="double" w:sz="4" w:space="0" w:color="00000A"/>
              <w:left w:val="double" w:sz="4" w:space="0" w:color="00000A"/>
              <w:bottom w:val="double" w:sz="4" w:space="0" w:color="00000A"/>
              <w:right w:val="double" w:sz="4" w:space="0" w:color="00000A"/>
            </w:tcBorders>
            <w:shd w:val="clear" w:color="auto" w:fill="auto"/>
            <w:tcMar>
              <w:left w:w="69" w:type="dxa"/>
            </w:tcMar>
          </w:tcPr>
          <w:p w:rsidR="00CA7085" w:rsidRPr="00506F58" w:rsidRDefault="00CA7085">
            <w:pPr>
              <w:rPr>
                <w:rFonts w:ascii="Arial" w:hAnsi="Arial" w:cs="Arial"/>
                <w:b/>
                <w:sz w:val="20"/>
              </w:rPr>
            </w:pPr>
          </w:p>
          <w:p w:rsidR="00CA7085" w:rsidRPr="00506F58" w:rsidRDefault="00C402B7">
            <w:pPr>
              <w:rPr>
                <w:rFonts w:ascii="Arial" w:hAnsi="Arial" w:cs="Arial"/>
                <w:sz w:val="20"/>
              </w:rPr>
            </w:pPr>
            <w:r w:rsidRPr="00506F58">
              <w:rPr>
                <w:rFonts w:ascii="Arial" w:hAnsi="Arial" w:cs="Arial"/>
                <w:sz w:val="20"/>
              </w:rPr>
              <w:t xml:space="preserve">Las Unidades primarias generadoras de </w:t>
            </w:r>
            <w:proofErr w:type="gramStart"/>
            <w:r w:rsidRPr="00506F58">
              <w:rPr>
                <w:rFonts w:ascii="Arial" w:hAnsi="Arial" w:cs="Arial"/>
                <w:sz w:val="20"/>
              </w:rPr>
              <w:t>dato(</w:t>
            </w:r>
            <w:proofErr w:type="gramEnd"/>
            <w:r w:rsidRPr="00506F58">
              <w:rPr>
                <w:rFonts w:ascii="Arial" w:hAnsi="Arial" w:cs="Arial"/>
                <w:sz w:val="20"/>
              </w:rPr>
              <w:t xml:space="preserve">UPGD)realizarán notificación de eventos ocupacionales (accidente trabajo, enfermedad laboral, condiciones peligrosas) una vez se identifiquen los probables casos, al correo institucional </w:t>
            </w:r>
            <w:hyperlink r:id="rId9" w:history="1">
              <w:r w:rsidR="00254572" w:rsidRPr="00506F58">
                <w:rPr>
                  <w:rStyle w:val="Hipervnculo"/>
                  <w:rFonts w:ascii="Arial" w:hAnsi="Arial" w:cs="Arial"/>
                  <w:sz w:val="20"/>
                </w:rPr>
                <w:t>sisvistra.norte@gmail.com</w:t>
              </w:r>
            </w:hyperlink>
            <w:r w:rsidRPr="00506F58">
              <w:rPr>
                <w:rFonts w:ascii="Arial" w:hAnsi="Arial" w:cs="Arial"/>
                <w:sz w:val="20"/>
              </w:rPr>
              <w:t xml:space="preserve">, diligenciarán la ficha de notificación correspondiente y socializada. Igualmente notificarán eventos relacionados con salud oral al correo </w:t>
            </w:r>
            <w:hyperlink r:id="rId10">
              <w:r w:rsidRPr="00506F58">
                <w:rPr>
                  <w:rStyle w:val="EnlacedeInternet"/>
                  <w:rFonts w:ascii="Arial" w:hAnsi="Arial" w:cs="Arial"/>
                  <w:sz w:val="20"/>
                </w:rPr>
                <w:t>sisvesosubrednorte1@gmail.com</w:t>
              </w:r>
            </w:hyperlink>
            <w:r w:rsidRPr="00506F58">
              <w:rPr>
                <w:rFonts w:ascii="Arial" w:hAnsi="Arial" w:cs="Arial"/>
                <w:sz w:val="20"/>
              </w:rPr>
              <w:t xml:space="preserve"> siguiendo la ruta establecida.</w:t>
            </w:r>
          </w:p>
          <w:p w:rsidR="00CA7085" w:rsidRPr="00506F58" w:rsidRDefault="00CA7085">
            <w:pPr>
              <w:rPr>
                <w:rFonts w:ascii="Arial" w:hAnsi="Arial" w:cs="Arial"/>
                <w:sz w:val="20"/>
              </w:rPr>
            </w:pPr>
          </w:p>
          <w:p w:rsidR="00CA7085" w:rsidRPr="00506F58" w:rsidRDefault="00C402B7">
            <w:pPr>
              <w:rPr>
                <w:rFonts w:ascii="Arial" w:hAnsi="Arial" w:cs="Arial"/>
                <w:sz w:val="20"/>
              </w:rPr>
            </w:pPr>
            <w:r w:rsidRPr="00506F58">
              <w:rPr>
                <w:rFonts w:ascii="Arial" w:hAnsi="Arial" w:cs="Arial"/>
                <w:sz w:val="20"/>
              </w:rPr>
              <w:t xml:space="preserve">Las </w:t>
            </w:r>
            <w:proofErr w:type="spellStart"/>
            <w:r w:rsidRPr="00506F58">
              <w:rPr>
                <w:rFonts w:ascii="Arial" w:hAnsi="Arial" w:cs="Arial"/>
                <w:sz w:val="20"/>
              </w:rPr>
              <w:t>UPGDs</w:t>
            </w:r>
            <w:proofErr w:type="spellEnd"/>
            <w:r w:rsidRPr="00506F58">
              <w:rPr>
                <w:rFonts w:ascii="Arial" w:hAnsi="Arial" w:cs="Arial"/>
                <w:sz w:val="20"/>
              </w:rPr>
              <w:t xml:space="preserve"> no realizan búsquedas activas para la notificación de SIVISTRA si no los eventos probables ocupacionales serán identificados durante la consulta y notificados respectivamente.</w:t>
            </w:r>
          </w:p>
          <w:p w:rsidR="00CA7085" w:rsidRPr="00506F58" w:rsidRDefault="00CA7085">
            <w:pPr>
              <w:rPr>
                <w:rFonts w:ascii="Arial" w:hAnsi="Arial" w:cs="Arial"/>
                <w:sz w:val="20"/>
              </w:rPr>
            </w:pPr>
          </w:p>
          <w:p w:rsidR="00CA7085" w:rsidRPr="00506F58" w:rsidRDefault="00C402B7">
            <w:pPr>
              <w:jc w:val="both"/>
              <w:rPr>
                <w:rFonts w:ascii="Arial" w:hAnsi="Arial" w:cs="Arial"/>
                <w:sz w:val="20"/>
              </w:rPr>
            </w:pPr>
            <w:r w:rsidRPr="00506F58">
              <w:rPr>
                <w:rFonts w:ascii="Arial" w:hAnsi="Arial" w:cs="Arial"/>
                <w:sz w:val="20"/>
              </w:rPr>
              <w:t xml:space="preserve">Se socializa que la </w:t>
            </w:r>
            <w:r w:rsidR="00AA7016" w:rsidRPr="00506F58">
              <w:rPr>
                <w:rFonts w:ascii="Arial" w:hAnsi="Arial" w:cs="Arial"/>
                <w:sz w:val="20"/>
              </w:rPr>
              <w:t>notificación</w:t>
            </w:r>
            <w:r w:rsidRPr="00506F58">
              <w:rPr>
                <w:rFonts w:ascii="Arial" w:hAnsi="Arial" w:cs="Arial"/>
                <w:sz w:val="20"/>
              </w:rPr>
              <w:t xml:space="preserve"> debe ser obligatoria de casos que ameriten atención y seguimiento en salud oral como Primera infancia: Menores en condición de alerta en salud oral que  presentan o hayan presentado procesos de dolor en boca e inflamación en cara de causa odontológica y/o hayan sido hospitalizados por causa odontológica, específicamente presencia de celulitis en cara; y/o que no hayan tenido acceso al servicio de odontología en el último año o durante su curso de vida o haya abandono en la atención en salud oral de parte delos cuidadores.</w:t>
            </w:r>
          </w:p>
          <w:p w:rsidR="00CA7085" w:rsidRPr="00506F58" w:rsidRDefault="00C402B7">
            <w:pPr>
              <w:jc w:val="both"/>
              <w:rPr>
                <w:rFonts w:ascii="Arial" w:hAnsi="Arial" w:cs="Arial"/>
                <w:sz w:val="20"/>
              </w:rPr>
            </w:pPr>
            <w:r w:rsidRPr="00506F58">
              <w:rPr>
                <w:rFonts w:ascii="Arial" w:hAnsi="Arial" w:cs="Arial"/>
                <w:sz w:val="20"/>
              </w:rPr>
              <w:t>Gestantes: que no hayan tenido acceso al servicio de salud oral en el primer trimestre del embarazo, que no estén en control odontológico durante la gestación y que presenten condiciones de alteración de estado periodontal como cálculos y sangrado gingival.</w:t>
            </w:r>
          </w:p>
          <w:p w:rsidR="00CA7085" w:rsidRPr="00506F58" w:rsidRDefault="00C402B7">
            <w:pPr>
              <w:jc w:val="both"/>
              <w:rPr>
                <w:rFonts w:ascii="Arial" w:hAnsi="Arial" w:cs="Arial"/>
                <w:sz w:val="20"/>
              </w:rPr>
            </w:pPr>
            <w:r w:rsidRPr="00506F58">
              <w:rPr>
                <w:rFonts w:ascii="Arial" w:hAnsi="Arial" w:cs="Arial"/>
                <w:sz w:val="20"/>
              </w:rPr>
              <w:t xml:space="preserve">Población de 60 y más años de edad con alerta en salud oral: procesos infamatorios y de dolor en cara de causa odontológica; que no hayan tenido acceso al servicio de salud oral en el último año y presencia de </w:t>
            </w:r>
            <w:proofErr w:type="spellStart"/>
            <w:r w:rsidRPr="00506F58">
              <w:rPr>
                <w:rFonts w:ascii="Arial" w:hAnsi="Arial" w:cs="Arial"/>
                <w:sz w:val="20"/>
              </w:rPr>
              <w:t>edentulismo</w:t>
            </w:r>
            <w:proofErr w:type="spellEnd"/>
            <w:r w:rsidRPr="00506F58">
              <w:rPr>
                <w:rFonts w:ascii="Arial" w:hAnsi="Arial" w:cs="Arial"/>
                <w:sz w:val="20"/>
              </w:rPr>
              <w:t xml:space="preserve"> sin prótesis dental y/o presencia de prótesis desadaptada.</w:t>
            </w:r>
          </w:p>
          <w:p w:rsidR="00CA7085" w:rsidRPr="00506F58" w:rsidRDefault="00C402B7">
            <w:pPr>
              <w:jc w:val="both"/>
              <w:rPr>
                <w:rFonts w:ascii="Arial" w:hAnsi="Arial" w:cs="Arial"/>
                <w:sz w:val="20"/>
              </w:rPr>
            </w:pPr>
            <w:r w:rsidRPr="00506F58">
              <w:rPr>
                <w:rFonts w:ascii="Arial" w:hAnsi="Arial" w:cs="Arial"/>
                <w:sz w:val="20"/>
              </w:rPr>
              <w:t>Gestantes en el último trimestre de gestación y recién nacido como aporte a la identificación de cohortes sanas.</w:t>
            </w:r>
          </w:p>
          <w:p w:rsidR="00CA7085" w:rsidRPr="00506F58" w:rsidRDefault="00CA7085">
            <w:pPr>
              <w:jc w:val="both"/>
              <w:rPr>
                <w:rFonts w:ascii="Arial" w:hAnsi="Arial" w:cs="Arial"/>
                <w:sz w:val="20"/>
              </w:rPr>
            </w:pPr>
          </w:p>
          <w:p w:rsidR="00CA7085" w:rsidRPr="00506F58" w:rsidRDefault="00CA7085">
            <w:pPr>
              <w:rPr>
                <w:rFonts w:ascii="Arial" w:hAnsi="Arial" w:cs="Arial"/>
                <w:sz w:val="20"/>
              </w:rPr>
            </w:pPr>
          </w:p>
          <w:p w:rsidR="00CA7085" w:rsidRPr="00506F58" w:rsidRDefault="00CA7085">
            <w:pPr>
              <w:rPr>
                <w:rFonts w:ascii="Arial" w:hAnsi="Arial" w:cs="Arial"/>
                <w:sz w:val="20"/>
              </w:rPr>
            </w:pPr>
          </w:p>
        </w:tc>
      </w:tr>
    </w:tbl>
    <w:p w:rsidR="00CA7085" w:rsidRPr="00506F58" w:rsidRDefault="00CA7085">
      <w:pPr>
        <w:jc w:val="both"/>
        <w:rPr>
          <w:rFonts w:ascii="Arial" w:hAnsi="Arial" w:cs="Arial"/>
          <w:sz w:val="20"/>
        </w:rPr>
      </w:pPr>
    </w:p>
    <w:p w:rsidR="009909D2" w:rsidRPr="00506F58" w:rsidRDefault="009909D2">
      <w:pPr>
        <w:jc w:val="both"/>
        <w:rPr>
          <w:rFonts w:ascii="Arial" w:hAnsi="Arial" w:cs="Arial"/>
          <w:sz w:val="20"/>
        </w:rPr>
      </w:pPr>
    </w:p>
    <w:p w:rsidR="00814AB2" w:rsidRPr="00506F58" w:rsidRDefault="00814AB2">
      <w:pPr>
        <w:jc w:val="both"/>
        <w:rPr>
          <w:rFonts w:ascii="Arial" w:hAnsi="Arial" w:cs="Arial"/>
          <w:sz w:val="20"/>
        </w:rPr>
      </w:pPr>
    </w:p>
    <w:p w:rsidR="009909D2" w:rsidRPr="00506F58" w:rsidRDefault="009909D2">
      <w:pPr>
        <w:jc w:val="both"/>
        <w:rPr>
          <w:rFonts w:ascii="Arial" w:hAnsi="Arial" w:cs="Arial"/>
          <w:sz w:val="20"/>
        </w:rPr>
      </w:pPr>
    </w:p>
    <w:p w:rsidR="009909D2" w:rsidRPr="00506F58" w:rsidRDefault="009909D2">
      <w:pPr>
        <w:jc w:val="both"/>
        <w:rPr>
          <w:rFonts w:ascii="Arial" w:hAnsi="Arial" w:cs="Arial"/>
          <w:sz w:val="20"/>
        </w:rPr>
      </w:pPr>
    </w:p>
    <w:tbl>
      <w:tblPr>
        <w:tblW w:w="10349" w:type="dxa"/>
        <w:tblInd w:w="-357" w:type="dxa"/>
        <w:tblBorders>
          <w:top w:val="double" w:sz="4" w:space="0" w:color="00000A"/>
          <w:left w:val="double" w:sz="4" w:space="0" w:color="00000A"/>
          <w:bottom w:val="double" w:sz="4" w:space="0" w:color="00000A"/>
          <w:right w:val="double" w:sz="4" w:space="0" w:color="00000A"/>
          <w:insideH w:val="double" w:sz="4" w:space="0" w:color="00000A"/>
          <w:insideV w:val="double" w:sz="4" w:space="0" w:color="00000A"/>
        </w:tblBorders>
        <w:tblCellMar>
          <w:left w:w="69" w:type="dxa"/>
          <w:right w:w="70" w:type="dxa"/>
        </w:tblCellMar>
        <w:tblLook w:val="0000" w:firstRow="0" w:lastRow="0" w:firstColumn="0" w:lastColumn="0" w:noHBand="0" w:noVBand="0"/>
      </w:tblPr>
      <w:tblGrid>
        <w:gridCol w:w="5165"/>
        <w:gridCol w:w="2668"/>
        <w:gridCol w:w="2516"/>
      </w:tblGrid>
      <w:tr w:rsidR="00CA7085" w:rsidRPr="00506F58">
        <w:trPr>
          <w:trHeight w:val="382"/>
        </w:trPr>
        <w:tc>
          <w:tcPr>
            <w:tcW w:w="4820" w:type="dxa"/>
            <w:tcBorders>
              <w:top w:val="double" w:sz="4" w:space="0" w:color="00000A"/>
              <w:left w:val="double" w:sz="4" w:space="0" w:color="00000A"/>
              <w:bottom w:val="double" w:sz="4" w:space="0" w:color="00000A"/>
              <w:right w:val="double" w:sz="4" w:space="0" w:color="00000A"/>
            </w:tcBorders>
            <w:shd w:val="clear" w:color="auto" w:fill="auto"/>
            <w:tcMar>
              <w:left w:w="69" w:type="dxa"/>
            </w:tcMar>
          </w:tcPr>
          <w:p w:rsidR="00CA7085" w:rsidRPr="00506F58" w:rsidRDefault="00C402B7">
            <w:pPr>
              <w:jc w:val="center"/>
              <w:rPr>
                <w:rFonts w:ascii="Arial" w:hAnsi="Arial" w:cs="Arial"/>
                <w:sz w:val="20"/>
              </w:rPr>
            </w:pPr>
            <w:r w:rsidRPr="00506F58">
              <w:rPr>
                <w:rFonts w:ascii="Arial" w:hAnsi="Arial" w:cs="Arial"/>
                <w:b/>
                <w:sz w:val="20"/>
              </w:rPr>
              <w:t>COMPROMISOS Y TAREAS A REALIZAR</w:t>
            </w:r>
          </w:p>
        </w:tc>
        <w:tc>
          <w:tcPr>
            <w:tcW w:w="2836" w:type="dxa"/>
            <w:tcBorders>
              <w:top w:val="double" w:sz="4" w:space="0" w:color="00000A"/>
              <w:left w:val="double" w:sz="4" w:space="0" w:color="00000A"/>
              <w:bottom w:val="double" w:sz="4" w:space="0" w:color="00000A"/>
              <w:right w:val="double" w:sz="4" w:space="0" w:color="00000A"/>
            </w:tcBorders>
            <w:shd w:val="clear" w:color="auto" w:fill="auto"/>
            <w:tcMar>
              <w:left w:w="69" w:type="dxa"/>
            </w:tcMar>
          </w:tcPr>
          <w:p w:rsidR="00CA7085" w:rsidRPr="00506F58" w:rsidRDefault="00C402B7">
            <w:pPr>
              <w:jc w:val="center"/>
              <w:rPr>
                <w:rFonts w:ascii="Arial" w:hAnsi="Arial" w:cs="Arial"/>
                <w:sz w:val="20"/>
              </w:rPr>
            </w:pPr>
            <w:r w:rsidRPr="00506F58">
              <w:rPr>
                <w:rFonts w:ascii="Arial" w:hAnsi="Arial" w:cs="Arial"/>
                <w:b/>
                <w:sz w:val="20"/>
              </w:rPr>
              <w:t>RESPONSABLE</w:t>
            </w:r>
          </w:p>
        </w:tc>
        <w:tc>
          <w:tcPr>
            <w:tcW w:w="2693" w:type="dxa"/>
            <w:tcBorders>
              <w:top w:val="double" w:sz="4" w:space="0" w:color="00000A"/>
              <w:left w:val="double" w:sz="4" w:space="0" w:color="00000A"/>
              <w:bottom w:val="double" w:sz="4" w:space="0" w:color="00000A"/>
              <w:right w:val="double" w:sz="4" w:space="0" w:color="00000A"/>
            </w:tcBorders>
            <w:shd w:val="clear" w:color="auto" w:fill="auto"/>
            <w:tcMar>
              <w:left w:w="69" w:type="dxa"/>
            </w:tcMar>
          </w:tcPr>
          <w:p w:rsidR="00CA7085" w:rsidRPr="00506F58" w:rsidRDefault="00C402B7">
            <w:pPr>
              <w:jc w:val="center"/>
              <w:rPr>
                <w:rFonts w:ascii="Arial" w:hAnsi="Arial" w:cs="Arial"/>
                <w:b/>
                <w:sz w:val="20"/>
              </w:rPr>
            </w:pPr>
            <w:r w:rsidRPr="00506F58">
              <w:rPr>
                <w:rFonts w:ascii="Arial" w:hAnsi="Arial" w:cs="Arial"/>
                <w:b/>
                <w:sz w:val="20"/>
              </w:rPr>
              <w:t>FECHA</w:t>
            </w:r>
          </w:p>
        </w:tc>
      </w:tr>
      <w:tr w:rsidR="00CA7085" w:rsidRPr="00506F58">
        <w:trPr>
          <w:trHeight w:val="391"/>
        </w:trPr>
        <w:tc>
          <w:tcPr>
            <w:tcW w:w="4820" w:type="dxa"/>
            <w:tcBorders>
              <w:top w:val="double" w:sz="4" w:space="0" w:color="00000A"/>
              <w:left w:val="double" w:sz="4" w:space="0" w:color="00000A"/>
              <w:bottom w:val="single" w:sz="4" w:space="0" w:color="00000A"/>
              <w:right w:val="single" w:sz="4" w:space="0" w:color="00000A"/>
            </w:tcBorders>
            <w:shd w:val="clear" w:color="auto" w:fill="auto"/>
            <w:tcMar>
              <w:left w:w="69" w:type="dxa"/>
            </w:tcMar>
          </w:tcPr>
          <w:p w:rsidR="00CA7085" w:rsidRPr="00506F58" w:rsidRDefault="00C402B7" w:rsidP="0067713E">
            <w:pPr>
              <w:tabs>
                <w:tab w:val="left" w:pos="3992"/>
              </w:tabs>
              <w:rPr>
                <w:rFonts w:ascii="Arial" w:hAnsi="Arial" w:cs="Arial"/>
                <w:sz w:val="20"/>
              </w:rPr>
            </w:pPr>
            <w:r w:rsidRPr="00506F58">
              <w:rPr>
                <w:rFonts w:ascii="Arial" w:hAnsi="Arial" w:cs="Arial"/>
                <w:sz w:val="20"/>
              </w:rPr>
              <w:tab/>
            </w:r>
            <w:r w:rsidR="0067713E" w:rsidRPr="00506F58">
              <w:rPr>
                <w:rFonts w:ascii="Arial" w:hAnsi="Arial" w:cs="Arial"/>
                <w:sz w:val="20"/>
              </w:rPr>
              <w:t>Notificación de eventos de SIVISTRA Y SISVESO</w:t>
            </w:r>
          </w:p>
        </w:tc>
        <w:tc>
          <w:tcPr>
            <w:tcW w:w="2836" w:type="dxa"/>
            <w:tcBorders>
              <w:top w:val="double" w:sz="4" w:space="0" w:color="00000A"/>
              <w:left w:val="single" w:sz="4" w:space="0" w:color="00000A"/>
              <w:bottom w:val="single" w:sz="4" w:space="0" w:color="00000A"/>
              <w:right w:val="single" w:sz="4" w:space="0" w:color="00000A"/>
            </w:tcBorders>
            <w:shd w:val="clear" w:color="auto" w:fill="auto"/>
            <w:tcMar>
              <w:left w:w="79" w:type="dxa"/>
            </w:tcMar>
          </w:tcPr>
          <w:p w:rsidR="00CA7085" w:rsidRPr="00506F58" w:rsidRDefault="0067713E">
            <w:pPr>
              <w:rPr>
                <w:rFonts w:ascii="Arial" w:hAnsi="Arial" w:cs="Arial"/>
                <w:sz w:val="20"/>
              </w:rPr>
            </w:pPr>
            <w:r w:rsidRPr="00506F58">
              <w:rPr>
                <w:rFonts w:ascii="Arial" w:hAnsi="Arial" w:cs="Arial"/>
                <w:sz w:val="20"/>
              </w:rPr>
              <w:t>Las UPGD de la localidad de Usaquén</w:t>
            </w:r>
          </w:p>
        </w:tc>
        <w:tc>
          <w:tcPr>
            <w:tcW w:w="2693" w:type="dxa"/>
            <w:tcBorders>
              <w:top w:val="double" w:sz="4" w:space="0" w:color="00000A"/>
              <w:left w:val="single" w:sz="4" w:space="0" w:color="00000A"/>
              <w:bottom w:val="single" w:sz="4" w:space="0" w:color="00000A"/>
              <w:right w:val="double" w:sz="4" w:space="0" w:color="00000A"/>
            </w:tcBorders>
            <w:shd w:val="clear" w:color="auto" w:fill="auto"/>
            <w:tcMar>
              <w:left w:w="79" w:type="dxa"/>
            </w:tcMar>
          </w:tcPr>
          <w:p w:rsidR="00CA7085" w:rsidRPr="00506F58" w:rsidRDefault="0067713E">
            <w:pPr>
              <w:rPr>
                <w:rFonts w:ascii="Arial" w:hAnsi="Arial" w:cs="Arial"/>
                <w:sz w:val="20"/>
              </w:rPr>
            </w:pPr>
            <w:r w:rsidRPr="00506F58">
              <w:rPr>
                <w:rFonts w:ascii="Arial" w:hAnsi="Arial" w:cs="Arial"/>
                <w:sz w:val="20"/>
              </w:rPr>
              <w:t>A partir de la fecha semanalmente</w:t>
            </w:r>
          </w:p>
        </w:tc>
      </w:tr>
      <w:tr w:rsidR="00CA7085" w:rsidRPr="00506F58">
        <w:trPr>
          <w:trHeight w:val="461"/>
        </w:trPr>
        <w:tc>
          <w:tcPr>
            <w:tcW w:w="4820" w:type="dxa"/>
            <w:tcBorders>
              <w:top w:val="single" w:sz="4" w:space="0" w:color="00000A"/>
              <w:left w:val="double" w:sz="4" w:space="0" w:color="00000A"/>
              <w:bottom w:val="single" w:sz="4" w:space="0" w:color="00000A"/>
              <w:right w:val="single" w:sz="4" w:space="0" w:color="00000A"/>
            </w:tcBorders>
            <w:shd w:val="clear" w:color="auto" w:fill="auto"/>
            <w:tcMar>
              <w:left w:w="69" w:type="dxa"/>
            </w:tcMar>
          </w:tcPr>
          <w:p w:rsidR="00CA7085" w:rsidRPr="00506F58" w:rsidRDefault="00CA7085">
            <w:pPr>
              <w:rPr>
                <w:rFonts w:ascii="Arial" w:hAnsi="Arial" w:cs="Arial"/>
                <w:sz w:val="20"/>
              </w:rPr>
            </w:pP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79" w:type="dxa"/>
            </w:tcMar>
          </w:tcPr>
          <w:p w:rsidR="00CA7085" w:rsidRPr="00506F58" w:rsidRDefault="00CA7085">
            <w:pPr>
              <w:rPr>
                <w:rFonts w:ascii="Arial" w:hAnsi="Arial" w:cs="Arial"/>
                <w:sz w:val="20"/>
              </w:rPr>
            </w:pPr>
          </w:p>
        </w:tc>
        <w:tc>
          <w:tcPr>
            <w:tcW w:w="2693" w:type="dxa"/>
            <w:tcBorders>
              <w:top w:val="single" w:sz="4" w:space="0" w:color="00000A"/>
              <w:left w:val="single" w:sz="4" w:space="0" w:color="00000A"/>
              <w:bottom w:val="single" w:sz="4" w:space="0" w:color="00000A"/>
              <w:right w:val="double" w:sz="4" w:space="0" w:color="00000A"/>
            </w:tcBorders>
            <w:shd w:val="clear" w:color="auto" w:fill="auto"/>
            <w:tcMar>
              <w:left w:w="79" w:type="dxa"/>
            </w:tcMar>
          </w:tcPr>
          <w:p w:rsidR="00CA7085" w:rsidRPr="00506F58" w:rsidRDefault="00CA7085">
            <w:pPr>
              <w:rPr>
                <w:rFonts w:ascii="Arial" w:hAnsi="Arial" w:cs="Arial"/>
                <w:b/>
                <w:sz w:val="20"/>
              </w:rPr>
            </w:pPr>
          </w:p>
        </w:tc>
      </w:tr>
      <w:tr w:rsidR="00CA7085" w:rsidRPr="00506F58">
        <w:trPr>
          <w:trHeight w:val="425"/>
        </w:trPr>
        <w:tc>
          <w:tcPr>
            <w:tcW w:w="4820" w:type="dxa"/>
            <w:tcBorders>
              <w:top w:val="single" w:sz="4" w:space="0" w:color="00000A"/>
              <w:left w:val="double" w:sz="4" w:space="0" w:color="00000A"/>
              <w:bottom w:val="single" w:sz="4" w:space="0" w:color="00000A"/>
              <w:right w:val="single" w:sz="4" w:space="0" w:color="00000A"/>
            </w:tcBorders>
            <w:shd w:val="clear" w:color="auto" w:fill="auto"/>
            <w:tcMar>
              <w:left w:w="69" w:type="dxa"/>
            </w:tcMar>
          </w:tcPr>
          <w:p w:rsidR="00CA7085" w:rsidRPr="00506F58" w:rsidRDefault="00CA7085">
            <w:pPr>
              <w:rPr>
                <w:rFonts w:ascii="Arial" w:hAnsi="Arial" w:cs="Arial"/>
                <w:sz w:val="20"/>
              </w:rPr>
            </w:pP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79" w:type="dxa"/>
            </w:tcMar>
          </w:tcPr>
          <w:p w:rsidR="00CA7085" w:rsidRPr="00506F58" w:rsidRDefault="00CA7085">
            <w:pPr>
              <w:rPr>
                <w:rFonts w:ascii="Arial" w:hAnsi="Arial" w:cs="Arial"/>
                <w:sz w:val="20"/>
              </w:rPr>
            </w:pPr>
          </w:p>
        </w:tc>
        <w:tc>
          <w:tcPr>
            <w:tcW w:w="2693" w:type="dxa"/>
            <w:tcBorders>
              <w:top w:val="single" w:sz="4" w:space="0" w:color="00000A"/>
              <w:left w:val="single" w:sz="4" w:space="0" w:color="00000A"/>
              <w:bottom w:val="single" w:sz="4" w:space="0" w:color="00000A"/>
              <w:right w:val="double" w:sz="4" w:space="0" w:color="00000A"/>
            </w:tcBorders>
            <w:shd w:val="clear" w:color="auto" w:fill="auto"/>
            <w:tcMar>
              <w:left w:w="79" w:type="dxa"/>
            </w:tcMar>
          </w:tcPr>
          <w:p w:rsidR="00CA7085" w:rsidRPr="00506F58" w:rsidRDefault="00CA7085">
            <w:pPr>
              <w:rPr>
                <w:rFonts w:ascii="Arial" w:hAnsi="Arial" w:cs="Arial"/>
                <w:b/>
                <w:sz w:val="20"/>
              </w:rPr>
            </w:pPr>
          </w:p>
        </w:tc>
      </w:tr>
      <w:tr w:rsidR="00CA7085" w:rsidRPr="00506F58">
        <w:trPr>
          <w:trHeight w:val="425"/>
        </w:trPr>
        <w:tc>
          <w:tcPr>
            <w:tcW w:w="4820" w:type="dxa"/>
            <w:tcBorders>
              <w:top w:val="single" w:sz="4" w:space="0" w:color="00000A"/>
              <w:left w:val="double" w:sz="4" w:space="0" w:color="00000A"/>
              <w:bottom w:val="single" w:sz="4" w:space="0" w:color="00000A"/>
              <w:right w:val="single" w:sz="4" w:space="0" w:color="00000A"/>
            </w:tcBorders>
            <w:shd w:val="clear" w:color="auto" w:fill="auto"/>
            <w:tcMar>
              <w:left w:w="69" w:type="dxa"/>
            </w:tcMar>
          </w:tcPr>
          <w:p w:rsidR="00CA7085" w:rsidRPr="00506F58" w:rsidRDefault="00CA7085">
            <w:pPr>
              <w:rPr>
                <w:rFonts w:ascii="Arial" w:hAnsi="Arial" w:cs="Arial"/>
                <w:sz w:val="20"/>
              </w:rPr>
            </w:pPr>
          </w:p>
        </w:tc>
        <w:tc>
          <w:tcPr>
            <w:tcW w:w="2836" w:type="dxa"/>
            <w:tcBorders>
              <w:top w:val="single" w:sz="4" w:space="0" w:color="00000A"/>
              <w:left w:val="single" w:sz="4" w:space="0" w:color="00000A"/>
              <w:bottom w:val="single" w:sz="4" w:space="0" w:color="00000A"/>
              <w:right w:val="single" w:sz="4" w:space="0" w:color="00000A"/>
            </w:tcBorders>
            <w:shd w:val="clear" w:color="auto" w:fill="auto"/>
            <w:tcMar>
              <w:left w:w="79" w:type="dxa"/>
            </w:tcMar>
          </w:tcPr>
          <w:p w:rsidR="00CA7085" w:rsidRPr="00506F58" w:rsidRDefault="00CA7085">
            <w:pPr>
              <w:rPr>
                <w:rFonts w:ascii="Arial" w:hAnsi="Arial" w:cs="Arial"/>
                <w:sz w:val="20"/>
              </w:rPr>
            </w:pPr>
          </w:p>
        </w:tc>
        <w:tc>
          <w:tcPr>
            <w:tcW w:w="2693" w:type="dxa"/>
            <w:tcBorders>
              <w:top w:val="single" w:sz="4" w:space="0" w:color="00000A"/>
              <w:left w:val="single" w:sz="4" w:space="0" w:color="00000A"/>
              <w:bottom w:val="single" w:sz="4" w:space="0" w:color="00000A"/>
              <w:right w:val="double" w:sz="4" w:space="0" w:color="00000A"/>
            </w:tcBorders>
            <w:shd w:val="clear" w:color="auto" w:fill="auto"/>
            <w:tcMar>
              <w:left w:w="79" w:type="dxa"/>
            </w:tcMar>
          </w:tcPr>
          <w:p w:rsidR="00CA7085" w:rsidRPr="00506F58" w:rsidRDefault="00CA7085">
            <w:pPr>
              <w:rPr>
                <w:rFonts w:ascii="Arial" w:hAnsi="Arial" w:cs="Arial"/>
                <w:b/>
                <w:sz w:val="20"/>
              </w:rPr>
            </w:pPr>
          </w:p>
        </w:tc>
      </w:tr>
      <w:tr w:rsidR="00CA7085" w:rsidRPr="00506F58">
        <w:trPr>
          <w:trHeight w:val="403"/>
        </w:trPr>
        <w:tc>
          <w:tcPr>
            <w:tcW w:w="4820" w:type="dxa"/>
            <w:tcBorders>
              <w:top w:val="single" w:sz="4" w:space="0" w:color="00000A"/>
              <w:left w:val="double" w:sz="4" w:space="0" w:color="00000A"/>
              <w:bottom w:val="double" w:sz="4" w:space="0" w:color="00000A"/>
              <w:right w:val="single" w:sz="4" w:space="0" w:color="00000A"/>
            </w:tcBorders>
            <w:shd w:val="clear" w:color="auto" w:fill="auto"/>
            <w:tcMar>
              <w:left w:w="69" w:type="dxa"/>
            </w:tcMar>
          </w:tcPr>
          <w:p w:rsidR="00CA7085" w:rsidRPr="00506F58" w:rsidRDefault="00CA7085">
            <w:pPr>
              <w:rPr>
                <w:rFonts w:ascii="Arial" w:hAnsi="Arial" w:cs="Arial"/>
                <w:sz w:val="20"/>
              </w:rPr>
            </w:pPr>
          </w:p>
        </w:tc>
        <w:tc>
          <w:tcPr>
            <w:tcW w:w="2836" w:type="dxa"/>
            <w:tcBorders>
              <w:top w:val="single" w:sz="4" w:space="0" w:color="00000A"/>
              <w:left w:val="single" w:sz="4" w:space="0" w:color="00000A"/>
              <w:bottom w:val="double" w:sz="4" w:space="0" w:color="00000A"/>
              <w:right w:val="single" w:sz="4" w:space="0" w:color="00000A"/>
            </w:tcBorders>
            <w:shd w:val="clear" w:color="auto" w:fill="auto"/>
            <w:tcMar>
              <w:left w:w="79" w:type="dxa"/>
            </w:tcMar>
          </w:tcPr>
          <w:p w:rsidR="00CA7085" w:rsidRPr="00506F58" w:rsidRDefault="00CA7085">
            <w:pPr>
              <w:rPr>
                <w:rFonts w:ascii="Arial" w:hAnsi="Arial" w:cs="Arial"/>
                <w:sz w:val="20"/>
              </w:rPr>
            </w:pPr>
          </w:p>
        </w:tc>
        <w:tc>
          <w:tcPr>
            <w:tcW w:w="2693" w:type="dxa"/>
            <w:tcBorders>
              <w:top w:val="single" w:sz="4" w:space="0" w:color="00000A"/>
              <w:left w:val="single" w:sz="4" w:space="0" w:color="00000A"/>
              <w:bottom w:val="double" w:sz="4" w:space="0" w:color="00000A"/>
              <w:right w:val="double" w:sz="4" w:space="0" w:color="00000A"/>
            </w:tcBorders>
            <w:shd w:val="clear" w:color="auto" w:fill="auto"/>
            <w:tcMar>
              <w:left w:w="79" w:type="dxa"/>
            </w:tcMar>
          </w:tcPr>
          <w:p w:rsidR="00CA7085" w:rsidRPr="00506F58" w:rsidRDefault="00CA7085">
            <w:pPr>
              <w:rPr>
                <w:rFonts w:ascii="Arial" w:hAnsi="Arial" w:cs="Arial"/>
                <w:b/>
                <w:sz w:val="20"/>
              </w:rPr>
            </w:pPr>
          </w:p>
        </w:tc>
      </w:tr>
    </w:tbl>
    <w:p w:rsidR="00CA7085" w:rsidRPr="00506F58" w:rsidRDefault="00CA7085">
      <w:pPr>
        <w:jc w:val="both"/>
        <w:rPr>
          <w:rFonts w:ascii="Arial" w:hAnsi="Arial" w:cs="Arial"/>
          <w:sz w:val="20"/>
        </w:rPr>
      </w:pPr>
    </w:p>
    <w:p w:rsidR="00CA7085" w:rsidRPr="00506F58" w:rsidRDefault="00CA7085">
      <w:pPr>
        <w:jc w:val="both"/>
        <w:rPr>
          <w:rFonts w:ascii="Arial" w:hAnsi="Arial" w:cs="Arial"/>
          <w:sz w:val="20"/>
        </w:rPr>
      </w:pPr>
    </w:p>
    <w:p w:rsidR="00401301" w:rsidRPr="00506F58" w:rsidRDefault="00401301">
      <w:pPr>
        <w:jc w:val="both"/>
        <w:rPr>
          <w:rFonts w:ascii="Arial" w:hAnsi="Arial" w:cs="Arial"/>
          <w:sz w:val="20"/>
        </w:rPr>
      </w:pPr>
    </w:p>
    <w:p w:rsidR="00401301" w:rsidRPr="00506F58" w:rsidRDefault="00401301">
      <w:pPr>
        <w:jc w:val="both"/>
        <w:rPr>
          <w:rFonts w:ascii="Arial" w:hAnsi="Arial" w:cs="Arial"/>
          <w:sz w:val="20"/>
        </w:rPr>
      </w:pPr>
    </w:p>
    <w:tbl>
      <w:tblPr>
        <w:tblW w:w="10349" w:type="dxa"/>
        <w:tblInd w:w="-357" w:type="dxa"/>
        <w:tblBorders>
          <w:top w:val="double" w:sz="4" w:space="0" w:color="00000A"/>
          <w:left w:val="double" w:sz="4" w:space="0" w:color="00000A"/>
          <w:bottom w:val="double" w:sz="4" w:space="0" w:color="00000A"/>
          <w:right w:val="double" w:sz="4" w:space="0" w:color="00000A"/>
          <w:insideH w:val="double" w:sz="4" w:space="0" w:color="00000A"/>
          <w:insideV w:val="double" w:sz="4" w:space="0" w:color="00000A"/>
        </w:tblBorders>
        <w:tblCellMar>
          <w:left w:w="69" w:type="dxa"/>
          <w:right w:w="70" w:type="dxa"/>
        </w:tblCellMar>
        <w:tblLook w:val="0000" w:firstRow="0" w:lastRow="0" w:firstColumn="0" w:lastColumn="0" w:noHBand="0" w:noVBand="0"/>
      </w:tblPr>
      <w:tblGrid>
        <w:gridCol w:w="3449"/>
        <w:gridCol w:w="3450"/>
        <w:gridCol w:w="3450"/>
      </w:tblGrid>
      <w:tr w:rsidR="00CA7085" w:rsidRPr="00506F58">
        <w:trPr>
          <w:trHeight w:val="382"/>
        </w:trPr>
        <w:tc>
          <w:tcPr>
            <w:tcW w:w="10349" w:type="dxa"/>
            <w:gridSpan w:val="3"/>
            <w:tcBorders>
              <w:top w:val="double" w:sz="4" w:space="0" w:color="00000A"/>
              <w:left w:val="double" w:sz="4" w:space="0" w:color="00000A"/>
              <w:bottom w:val="double" w:sz="4" w:space="0" w:color="00000A"/>
              <w:right w:val="double" w:sz="4" w:space="0" w:color="00000A"/>
            </w:tcBorders>
            <w:shd w:val="clear" w:color="auto" w:fill="auto"/>
            <w:tcMar>
              <w:left w:w="69" w:type="dxa"/>
            </w:tcMar>
            <w:vAlign w:val="center"/>
          </w:tcPr>
          <w:p w:rsidR="00CA7085" w:rsidRPr="00506F58" w:rsidRDefault="00C402B7">
            <w:pPr>
              <w:rPr>
                <w:rFonts w:ascii="Arial" w:hAnsi="Arial" w:cs="Arial"/>
                <w:sz w:val="20"/>
              </w:rPr>
            </w:pPr>
            <w:r w:rsidRPr="00506F58">
              <w:rPr>
                <w:rFonts w:ascii="Arial" w:hAnsi="Arial" w:cs="Arial"/>
                <w:b/>
                <w:sz w:val="20"/>
              </w:rPr>
              <w:t>FIRMAS DE LOS ASISTENTES</w:t>
            </w:r>
          </w:p>
        </w:tc>
      </w:tr>
      <w:tr w:rsidR="00CA7085" w:rsidRPr="00506F58">
        <w:trPr>
          <w:trHeight w:val="357"/>
        </w:trPr>
        <w:tc>
          <w:tcPr>
            <w:tcW w:w="3449" w:type="dxa"/>
            <w:tcBorders>
              <w:top w:val="double" w:sz="4" w:space="0" w:color="00000A"/>
              <w:left w:val="double" w:sz="4" w:space="0" w:color="00000A"/>
              <w:bottom w:val="double" w:sz="4" w:space="0" w:color="00000A"/>
              <w:right w:val="double" w:sz="4" w:space="0" w:color="00000A"/>
            </w:tcBorders>
            <w:shd w:val="clear" w:color="auto" w:fill="auto"/>
            <w:tcMar>
              <w:left w:w="69" w:type="dxa"/>
            </w:tcMar>
          </w:tcPr>
          <w:p w:rsidR="00CA7085" w:rsidRPr="00506F58" w:rsidRDefault="00C402B7">
            <w:pPr>
              <w:jc w:val="center"/>
              <w:rPr>
                <w:rFonts w:ascii="Arial" w:hAnsi="Arial" w:cs="Arial"/>
                <w:b/>
                <w:sz w:val="20"/>
              </w:rPr>
            </w:pPr>
            <w:r w:rsidRPr="00506F58">
              <w:rPr>
                <w:rFonts w:ascii="Arial" w:hAnsi="Arial" w:cs="Arial"/>
                <w:b/>
                <w:sz w:val="20"/>
              </w:rPr>
              <w:t>NOMBRE</w:t>
            </w:r>
          </w:p>
        </w:tc>
        <w:tc>
          <w:tcPr>
            <w:tcW w:w="3450" w:type="dxa"/>
            <w:tcBorders>
              <w:top w:val="double" w:sz="4" w:space="0" w:color="00000A"/>
              <w:left w:val="double" w:sz="4" w:space="0" w:color="00000A"/>
              <w:bottom w:val="double" w:sz="4" w:space="0" w:color="00000A"/>
              <w:right w:val="double" w:sz="4" w:space="0" w:color="00000A"/>
            </w:tcBorders>
            <w:shd w:val="clear" w:color="auto" w:fill="auto"/>
            <w:tcMar>
              <w:left w:w="69" w:type="dxa"/>
            </w:tcMar>
          </w:tcPr>
          <w:p w:rsidR="00CA7085" w:rsidRPr="00506F58" w:rsidRDefault="00C402B7">
            <w:pPr>
              <w:jc w:val="center"/>
              <w:rPr>
                <w:rFonts w:ascii="Arial" w:hAnsi="Arial" w:cs="Arial"/>
                <w:b/>
                <w:sz w:val="20"/>
              </w:rPr>
            </w:pPr>
            <w:r w:rsidRPr="00506F58">
              <w:rPr>
                <w:rFonts w:ascii="Arial" w:hAnsi="Arial" w:cs="Arial"/>
                <w:b/>
                <w:sz w:val="20"/>
              </w:rPr>
              <w:t>FIRMA</w:t>
            </w:r>
          </w:p>
        </w:tc>
        <w:tc>
          <w:tcPr>
            <w:tcW w:w="3450" w:type="dxa"/>
            <w:tcBorders>
              <w:top w:val="double" w:sz="4" w:space="0" w:color="00000A"/>
              <w:left w:val="double" w:sz="4" w:space="0" w:color="00000A"/>
              <w:bottom w:val="double" w:sz="4" w:space="0" w:color="00000A"/>
              <w:right w:val="double" w:sz="4" w:space="0" w:color="00000A"/>
            </w:tcBorders>
            <w:shd w:val="clear" w:color="auto" w:fill="auto"/>
            <w:tcMar>
              <w:left w:w="69" w:type="dxa"/>
            </w:tcMar>
          </w:tcPr>
          <w:p w:rsidR="00CA7085" w:rsidRPr="00506F58" w:rsidRDefault="00C402B7">
            <w:pPr>
              <w:jc w:val="center"/>
              <w:rPr>
                <w:rFonts w:ascii="Arial" w:hAnsi="Arial" w:cs="Arial"/>
                <w:b/>
                <w:sz w:val="20"/>
              </w:rPr>
            </w:pPr>
            <w:r w:rsidRPr="00506F58">
              <w:rPr>
                <w:rFonts w:ascii="Arial" w:hAnsi="Arial" w:cs="Arial"/>
                <w:b/>
                <w:sz w:val="20"/>
              </w:rPr>
              <w:t>CORREO ELECTRONICO</w:t>
            </w:r>
          </w:p>
        </w:tc>
      </w:tr>
      <w:tr w:rsidR="00CA7085" w:rsidRPr="00506F58">
        <w:trPr>
          <w:trHeight w:val="355"/>
        </w:trPr>
        <w:tc>
          <w:tcPr>
            <w:tcW w:w="3449" w:type="dxa"/>
            <w:tcBorders>
              <w:top w:val="double" w:sz="4" w:space="0" w:color="00000A"/>
              <w:left w:val="double" w:sz="4" w:space="0" w:color="00000A"/>
              <w:bottom w:val="single" w:sz="4" w:space="0" w:color="00000A"/>
              <w:right w:val="single" w:sz="4" w:space="0" w:color="00000A"/>
            </w:tcBorders>
            <w:shd w:val="clear" w:color="auto" w:fill="auto"/>
            <w:tcMar>
              <w:left w:w="69" w:type="dxa"/>
            </w:tcMar>
          </w:tcPr>
          <w:p w:rsidR="00CA7085" w:rsidRPr="00506F58" w:rsidRDefault="00254572">
            <w:pPr>
              <w:rPr>
                <w:rFonts w:ascii="Arial" w:hAnsi="Arial" w:cs="Arial"/>
                <w:sz w:val="20"/>
              </w:rPr>
            </w:pPr>
            <w:r w:rsidRPr="00506F58">
              <w:rPr>
                <w:rFonts w:ascii="Arial" w:hAnsi="Arial" w:cs="Arial"/>
                <w:sz w:val="20"/>
              </w:rPr>
              <w:t>SE ANEXA LISTADOS DE ASISTENCIAS</w:t>
            </w:r>
          </w:p>
        </w:tc>
        <w:tc>
          <w:tcPr>
            <w:tcW w:w="3450" w:type="dxa"/>
            <w:tcBorders>
              <w:top w:val="double" w:sz="4" w:space="0" w:color="00000A"/>
              <w:left w:val="single" w:sz="4" w:space="0" w:color="00000A"/>
              <w:bottom w:val="single" w:sz="4" w:space="0" w:color="00000A"/>
              <w:right w:val="single" w:sz="4" w:space="0" w:color="00000A"/>
            </w:tcBorders>
            <w:shd w:val="clear" w:color="auto" w:fill="auto"/>
            <w:tcMar>
              <w:left w:w="79" w:type="dxa"/>
            </w:tcMar>
          </w:tcPr>
          <w:p w:rsidR="00CA7085" w:rsidRPr="00506F58" w:rsidRDefault="00CA7085">
            <w:pPr>
              <w:rPr>
                <w:rFonts w:ascii="Arial" w:hAnsi="Arial" w:cs="Arial"/>
                <w:sz w:val="20"/>
              </w:rPr>
            </w:pPr>
          </w:p>
        </w:tc>
        <w:tc>
          <w:tcPr>
            <w:tcW w:w="3450" w:type="dxa"/>
            <w:tcBorders>
              <w:top w:val="double" w:sz="4" w:space="0" w:color="00000A"/>
              <w:left w:val="single" w:sz="4" w:space="0" w:color="00000A"/>
              <w:bottom w:val="single" w:sz="4" w:space="0" w:color="00000A"/>
              <w:right w:val="double" w:sz="4" w:space="0" w:color="00000A"/>
            </w:tcBorders>
            <w:shd w:val="clear" w:color="auto" w:fill="auto"/>
            <w:tcMar>
              <w:left w:w="79" w:type="dxa"/>
            </w:tcMar>
          </w:tcPr>
          <w:p w:rsidR="00CA7085" w:rsidRPr="00506F58" w:rsidRDefault="00CA7085">
            <w:pPr>
              <w:rPr>
                <w:rFonts w:ascii="Arial" w:hAnsi="Arial" w:cs="Arial"/>
                <w:sz w:val="20"/>
              </w:rPr>
            </w:pPr>
          </w:p>
        </w:tc>
      </w:tr>
      <w:tr w:rsidR="00CA7085" w:rsidRPr="00506F58">
        <w:trPr>
          <w:trHeight w:val="355"/>
        </w:trPr>
        <w:tc>
          <w:tcPr>
            <w:tcW w:w="3449" w:type="dxa"/>
            <w:tcBorders>
              <w:top w:val="single" w:sz="4" w:space="0" w:color="00000A"/>
              <w:left w:val="double" w:sz="4" w:space="0" w:color="00000A"/>
              <w:bottom w:val="single" w:sz="4" w:space="0" w:color="00000A"/>
              <w:right w:val="single" w:sz="4" w:space="0" w:color="00000A"/>
            </w:tcBorders>
            <w:shd w:val="clear" w:color="auto" w:fill="auto"/>
            <w:tcMar>
              <w:left w:w="69" w:type="dxa"/>
            </w:tcMar>
          </w:tcPr>
          <w:p w:rsidR="00CA7085" w:rsidRPr="00506F58" w:rsidRDefault="00CA7085">
            <w:pPr>
              <w:rPr>
                <w:rFonts w:ascii="Arial" w:hAnsi="Arial" w:cs="Arial"/>
                <w:sz w:val="20"/>
              </w:rPr>
            </w:pPr>
          </w:p>
        </w:tc>
        <w:tc>
          <w:tcPr>
            <w:tcW w:w="3450" w:type="dxa"/>
            <w:tcBorders>
              <w:top w:val="single" w:sz="4" w:space="0" w:color="00000A"/>
              <w:left w:val="single" w:sz="4" w:space="0" w:color="00000A"/>
              <w:bottom w:val="single" w:sz="4" w:space="0" w:color="00000A"/>
              <w:right w:val="single" w:sz="4" w:space="0" w:color="00000A"/>
            </w:tcBorders>
            <w:shd w:val="clear" w:color="auto" w:fill="auto"/>
            <w:tcMar>
              <w:left w:w="79" w:type="dxa"/>
            </w:tcMar>
          </w:tcPr>
          <w:p w:rsidR="00CA7085" w:rsidRPr="00506F58" w:rsidRDefault="00CA7085">
            <w:pPr>
              <w:rPr>
                <w:rFonts w:ascii="Arial" w:hAnsi="Arial" w:cs="Arial"/>
                <w:sz w:val="20"/>
              </w:rPr>
            </w:pPr>
          </w:p>
        </w:tc>
        <w:tc>
          <w:tcPr>
            <w:tcW w:w="3450" w:type="dxa"/>
            <w:tcBorders>
              <w:top w:val="single" w:sz="4" w:space="0" w:color="00000A"/>
              <w:left w:val="single" w:sz="4" w:space="0" w:color="00000A"/>
              <w:bottom w:val="single" w:sz="4" w:space="0" w:color="00000A"/>
              <w:right w:val="double" w:sz="4" w:space="0" w:color="00000A"/>
            </w:tcBorders>
            <w:shd w:val="clear" w:color="auto" w:fill="auto"/>
            <w:tcMar>
              <w:left w:w="79" w:type="dxa"/>
            </w:tcMar>
          </w:tcPr>
          <w:p w:rsidR="00CA7085" w:rsidRPr="00506F58" w:rsidRDefault="00CA7085">
            <w:pPr>
              <w:rPr>
                <w:rFonts w:ascii="Arial" w:hAnsi="Arial" w:cs="Arial"/>
                <w:sz w:val="20"/>
              </w:rPr>
            </w:pPr>
          </w:p>
        </w:tc>
      </w:tr>
      <w:tr w:rsidR="00CA7085" w:rsidRPr="00506F58">
        <w:trPr>
          <w:trHeight w:val="355"/>
        </w:trPr>
        <w:tc>
          <w:tcPr>
            <w:tcW w:w="3449" w:type="dxa"/>
            <w:tcBorders>
              <w:top w:val="single" w:sz="4" w:space="0" w:color="00000A"/>
              <w:left w:val="double" w:sz="4" w:space="0" w:color="00000A"/>
              <w:bottom w:val="single" w:sz="4" w:space="0" w:color="00000A"/>
              <w:right w:val="single" w:sz="4" w:space="0" w:color="00000A"/>
            </w:tcBorders>
            <w:shd w:val="clear" w:color="auto" w:fill="auto"/>
            <w:tcMar>
              <w:left w:w="69" w:type="dxa"/>
            </w:tcMar>
          </w:tcPr>
          <w:p w:rsidR="00CA7085" w:rsidRPr="00506F58" w:rsidRDefault="00CA7085">
            <w:pPr>
              <w:rPr>
                <w:rFonts w:ascii="Arial" w:hAnsi="Arial" w:cs="Arial"/>
                <w:sz w:val="20"/>
              </w:rPr>
            </w:pPr>
          </w:p>
        </w:tc>
        <w:tc>
          <w:tcPr>
            <w:tcW w:w="3450" w:type="dxa"/>
            <w:tcBorders>
              <w:top w:val="single" w:sz="4" w:space="0" w:color="00000A"/>
              <w:left w:val="single" w:sz="4" w:space="0" w:color="00000A"/>
              <w:bottom w:val="single" w:sz="4" w:space="0" w:color="00000A"/>
              <w:right w:val="single" w:sz="4" w:space="0" w:color="00000A"/>
            </w:tcBorders>
            <w:shd w:val="clear" w:color="auto" w:fill="auto"/>
            <w:tcMar>
              <w:left w:w="79" w:type="dxa"/>
            </w:tcMar>
          </w:tcPr>
          <w:p w:rsidR="00CA7085" w:rsidRPr="00506F58" w:rsidRDefault="00CA7085">
            <w:pPr>
              <w:rPr>
                <w:rFonts w:ascii="Arial" w:hAnsi="Arial" w:cs="Arial"/>
                <w:sz w:val="20"/>
              </w:rPr>
            </w:pPr>
          </w:p>
        </w:tc>
        <w:tc>
          <w:tcPr>
            <w:tcW w:w="3450" w:type="dxa"/>
            <w:tcBorders>
              <w:top w:val="single" w:sz="4" w:space="0" w:color="00000A"/>
              <w:left w:val="single" w:sz="4" w:space="0" w:color="00000A"/>
              <w:bottom w:val="single" w:sz="4" w:space="0" w:color="00000A"/>
              <w:right w:val="double" w:sz="4" w:space="0" w:color="00000A"/>
            </w:tcBorders>
            <w:shd w:val="clear" w:color="auto" w:fill="auto"/>
            <w:tcMar>
              <w:left w:w="79" w:type="dxa"/>
            </w:tcMar>
          </w:tcPr>
          <w:p w:rsidR="00CA7085" w:rsidRPr="00506F58" w:rsidRDefault="00CA7085">
            <w:pPr>
              <w:rPr>
                <w:rFonts w:ascii="Arial" w:hAnsi="Arial" w:cs="Arial"/>
                <w:sz w:val="20"/>
              </w:rPr>
            </w:pPr>
          </w:p>
        </w:tc>
      </w:tr>
      <w:tr w:rsidR="00CA7085" w:rsidRPr="00506F58">
        <w:trPr>
          <w:trHeight w:val="355"/>
        </w:trPr>
        <w:tc>
          <w:tcPr>
            <w:tcW w:w="3449" w:type="dxa"/>
            <w:tcBorders>
              <w:top w:val="single" w:sz="4" w:space="0" w:color="00000A"/>
              <w:left w:val="double" w:sz="4" w:space="0" w:color="00000A"/>
              <w:bottom w:val="single" w:sz="4" w:space="0" w:color="00000A"/>
              <w:right w:val="single" w:sz="4" w:space="0" w:color="00000A"/>
            </w:tcBorders>
            <w:shd w:val="clear" w:color="auto" w:fill="auto"/>
            <w:tcMar>
              <w:left w:w="69" w:type="dxa"/>
            </w:tcMar>
          </w:tcPr>
          <w:p w:rsidR="00CA7085" w:rsidRPr="00506F58" w:rsidRDefault="00CA7085">
            <w:pPr>
              <w:rPr>
                <w:rFonts w:ascii="Arial" w:hAnsi="Arial" w:cs="Arial"/>
                <w:sz w:val="20"/>
              </w:rPr>
            </w:pPr>
          </w:p>
        </w:tc>
        <w:tc>
          <w:tcPr>
            <w:tcW w:w="3450" w:type="dxa"/>
            <w:tcBorders>
              <w:top w:val="single" w:sz="4" w:space="0" w:color="00000A"/>
              <w:left w:val="single" w:sz="4" w:space="0" w:color="00000A"/>
              <w:bottom w:val="single" w:sz="4" w:space="0" w:color="00000A"/>
              <w:right w:val="single" w:sz="4" w:space="0" w:color="00000A"/>
            </w:tcBorders>
            <w:shd w:val="clear" w:color="auto" w:fill="auto"/>
            <w:tcMar>
              <w:left w:w="79" w:type="dxa"/>
            </w:tcMar>
          </w:tcPr>
          <w:p w:rsidR="00CA7085" w:rsidRPr="00506F58" w:rsidRDefault="00CA7085">
            <w:pPr>
              <w:rPr>
                <w:rFonts w:ascii="Arial" w:hAnsi="Arial" w:cs="Arial"/>
                <w:sz w:val="20"/>
              </w:rPr>
            </w:pPr>
          </w:p>
        </w:tc>
        <w:tc>
          <w:tcPr>
            <w:tcW w:w="3450" w:type="dxa"/>
            <w:tcBorders>
              <w:top w:val="single" w:sz="4" w:space="0" w:color="00000A"/>
              <w:left w:val="single" w:sz="4" w:space="0" w:color="00000A"/>
              <w:bottom w:val="single" w:sz="4" w:space="0" w:color="00000A"/>
              <w:right w:val="double" w:sz="4" w:space="0" w:color="00000A"/>
            </w:tcBorders>
            <w:shd w:val="clear" w:color="auto" w:fill="auto"/>
            <w:tcMar>
              <w:left w:w="79" w:type="dxa"/>
            </w:tcMar>
          </w:tcPr>
          <w:p w:rsidR="00CA7085" w:rsidRPr="00506F58" w:rsidRDefault="00CA7085">
            <w:pPr>
              <w:rPr>
                <w:rFonts w:ascii="Arial" w:hAnsi="Arial" w:cs="Arial"/>
                <w:sz w:val="20"/>
              </w:rPr>
            </w:pPr>
          </w:p>
        </w:tc>
      </w:tr>
      <w:tr w:rsidR="00CA7085" w:rsidRPr="00506F58">
        <w:trPr>
          <w:trHeight w:val="355"/>
        </w:trPr>
        <w:tc>
          <w:tcPr>
            <w:tcW w:w="3449" w:type="dxa"/>
            <w:tcBorders>
              <w:top w:val="single" w:sz="4" w:space="0" w:color="00000A"/>
              <w:left w:val="double" w:sz="4" w:space="0" w:color="00000A"/>
              <w:bottom w:val="single" w:sz="4" w:space="0" w:color="00000A"/>
              <w:right w:val="single" w:sz="4" w:space="0" w:color="00000A"/>
            </w:tcBorders>
            <w:shd w:val="clear" w:color="auto" w:fill="auto"/>
            <w:tcMar>
              <w:left w:w="69" w:type="dxa"/>
            </w:tcMar>
          </w:tcPr>
          <w:p w:rsidR="00CA7085" w:rsidRPr="00506F58" w:rsidRDefault="00CA7085">
            <w:pPr>
              <w:rPr>
                <w:rFonts w:ascii="Arial" w:hAnsi="Arial" w:cs="Arial"/>
                <w:sz w:val="20"/>
              </w:rPr>
            </w:pPr>
          </w:p>
        </w:tc>
        <w:tc>
          <w:tcPr>
            <w:tcW w:w="3450" w:type="dxa"/>
            <w:tcBorders>
              <w:top w:val="single" w:sz="4" w:space="0" w:color="00000A"/>
              <w:left w:val="single" w:sz="4" w:space="0" w:color="00000A"/>
              <w:bottom w:val="single" w:sz="4" w:space="0" w:color="00000A"/>
              <w:right w:val="single" w:sz="4" w:space="0" w:color="00000A"/>
            </w:tcBorders>
            <w:shd w:val="clear" w:color="auto" w:fill="auto"/>
            <w:tcMar>
              <w:left w:w="79" w:type="dxa"/>
            </w:tcMar>
          </w:tcPr>
          <w:p w:rsidR="00CA7085" w:rsidRPr="00506F58" w:rsidRDefault="00CA7085">
            <w:pPr>
              <w:rPr>
                <w:rFonts w:ascii="Arial" w:hAnsi="Arial" w:cs="Arial"/>
                <w:sz w:val="20"/>
              </w:rPr>
            </w:pPr>
          </w:p>
        </w:tc>
        <w:tc>
          <w:tcPr>
            <w:tcW w:w="3450" w:type="dxa"/>
            <w:tcBorders>
              <w:top w:val="single" w:sz="4" w:space="0" w:color="00000A"/>
              <w:left w:val="single" w:sz="4" w:space="0" w:color="00000A"/>
              <w:bottom w:val="single" w:sz="4" w:space="0" w:color="00000A"/>
              <w:right w:val="double" w:sz="4" w:space="0" w:color="00000A"/>
            </w:tcBorders>
            <w:shd w:val="clear" w:color="auto" w:fill="auto"/>
            <w:tcMar>
              <w:left w:w="79" w:type="dxa"/>
            </w:tcMar>
          </w:tcPr>
          <w:p w:rsidR="00CA7085" w:rsidRPr="00506F58" w:rsidRDefault="00CA7085">
            <w:pPr>
              <w:rPr>
                <w:rFonts w:ascii="Arial" w:hAnsi="Arial" w:cs="Arial"/>
                <w:sz w:val="20"/>
              </w:rPr>
            </w:pPr>
          </w:p>
        </w:tc>
      </w:tr>
      <w:tr w:rsidR="00CA7085" w:rsidRPr="00506F58">
        <w:trPr>
          <w:trHeight w:val="355"/>
        </w:trPr>
        <w:tc>
          <w:tcPr>
            <w:tcW w:w="3449" w:type="dxa"/>
            <w:tcBorders>
              <w:top w:val="single" w:sz="4" w:space="0" w:color="00000A"/>
              <w:left w:val="double" w:sz="4" w:space="0" w:color="00000A"/>
              <w:bottom w:val="single" w:sz="4" w:space="0" w:color="00000A"/>
              <w:right w:val="single" w:sz="4" w:space="0" w:color="00000A"/>
            </w:tcBorders>
            <w:shd w:val="clear" w:color="auto" w:fill="auto"/>
            <w:tcMar>
              <w:left w:w="69" w:type="dxa"/>
            </w:tcMar>
          </w:tcPr>
          <w:p w:rsidR="00CA7085" w:rsidRPr="00506F58" w:rsidRDefault="00CA7085">
            <w:pPr>
              <w:rPr>
                <w:rFonts w:ascii="Arial" w:hAnsi="Arial" w:cs="Arial"/>
                <w:sz w:val="20"/>
              </w:rPr>
            </w:pPr>
          </w:p>
        </w:tc>
        <w:tc>
          <w:tcPr>
            <w:tcW w:w="3450" w:type="dxa"/>
            <w:tcBorders>
              <w:top w:val="single" w:sz="4" w:space="0" w:color="00000A"/>
              <w:left w:val="single" w:sz="4" w:space="0" w:color="00000A"/>
              <w:bottom w:val="single" w:sz="4" w:space="0" w:color="00000A"/>
              <w:right w:val="single" w:sz="4" w:space="0" w:color="00000A"/>
            </w:tcBorders>
            <w:shd w:val="clear" w:color="auto" w:fill="auto"/>
            <w:tcMar>
              <w:left w:w="79" w:type="dxa"/>
            </w:tcMar>
          </w:tcPr>
          <w:p w:rsidR="00CA7085" w:rsidRPr="00506F58" w:rsidRDefault="00CA7085">
            <w:pPr>
              <w:rPr>
                <w:rFonts w:ascii="Arial" w:hAnsi="Arial" w:cs="Arial"/>
                <w:sz w:val="20"/>
              </w:rPr>
            </w:pPr>
          </w:p>
        </w:tc>
        <w:tc>
          <w:tcPr>
            <w:tcW w:w="3450" w:type="dxa"/>
            <w:tcBorders>
              <w:top w:val="single" w:sz="4" w:space="0" w:color="00000A"/>
              <w:left w:val="single" w:sz="4" w:space="0" w:color="00000A"/>
              <w:bottom w:val="single" w:sz="4" w:space="0" w:color="00000A"/>
              <w:right w:val="double" w:sz="4" w:space="0" w:color="00000A"/>
            </w:tcBorders>
            <w:shd w:val="clear" w:color="auto" w:fill="auto"/>
            <w:tcMar>
              <w:left w:w="79" w:type="dxa"/>
            </w:tcMar>
          </w:tcPr>
          <w:p w:rsidR="00CA7085" w:rsidRPr="00506F58" w:rsidRDefault="00CA7085">
            <w:pPr>
              <w:rPr>
                <w:rFonts w:ascii="Arial" w:hAnsi="Arial" w:cs="Arial"/>
                <w:sz w:val="20"/>
              </w:rPr>
            </w:pPr>
          </w:p>
        </w:tc>
      </w:tr>
      <w:tr w:rsidR="00CA7085" w:rsidRPr="00506F58">
        <w:trPr>
          <w:trHeight w:val="355"/>
        </w:trPr>
        <w:tc>
          <w:tcPr>
            <w:tcW w:w="3449" w:type="dxa"/>
            <w:tcBorders>
              <w:top w:val="single" w:sz="4" w:space="0" w:color="00000A"/>
              <w:left w:val="double" w:sz="4" w:space="0" w:color="00000A"/>
              <w:bottom w:val="double" w:sz="4" w:space="0" w:color="00000A"/>
              <w:right w:val="single" w:sz="4" w:space="0" w:color="00000A"/>
            </w:tcBorders>
            <w:shd w:val="clear" w:color="auto" w:fill="auto"/>
            <w:tcMar>
              <w:left w:w="69" w:type="dxa"/>
            </w:tcMar>
          </w:tcPr>
          <w:p w:rsidR="00CA7085" w:rsidRPr="00506F58" w:rsidRDefault="00CA7085">
            <w:pPr>
              <w:rPr>
                <w:rFonts w:ascii="Arial" w:hAnsi="Arial" w:cs="Arial"/>
                <w:sz w:val="20"/>
              </w:rPr>
            </w:pPr>
          </w:p>
        </w:tc>
        <w:tc>
          <w:tcPr>
            <w:tcW w:w="3450" w:type="dxa"/>
            <w:tcBorders>
              <w:top w:val="single" w:sz="4" w:space="0" w:color="00000A"/>
              <w:left w:val="single" w:sz="4" w:space="0" w:color="00000A"/>
              <w:bottom w:val="double" w:sz="4" w:space="0" w:color="00000A"/>
              <w:right w:val="single" w:sz="4" w:space="0" w:color="00000A"/>
            </w:tcBorders>
            <w:shd w:val="clear" w:color="auto" w:fill="auto"/>
            <w:tcMar>
              <w:left w:w="79" w:type="dxa"/>
            </w:tcMar>
          </w:tcPr>
          <w:p w:rsidR="00CA7085" w:rsidRPr="00506F58" w:rsidRDefault="00CA7085">
            <w:pPr>
              <w:rPr>
                <w:rFonts w:ascii="Arial" w:hAnsi="Arial" w:cs="Arial"/>
                <w:sz w:val="20"/>
              </w:rPr>
            </w:pPr>
          </w:p>
        </w:tc>
        <w:tc>
          <w:tcPr>
            <w:tcW w:w="3450" w:type="dxa"/>
            <w:tcBorders>
              <w:top w:val="single" w:sz="4" w:space="0" w:color="00000A"/>
              <w:left w:val="single" w:sz="4" w:space="0" w:color="00000A"/>
              <w:bottom w:val="double" w:sz="4" w:space="0" w:color="00000A"/>
              <w:right w:val="double" w:sz="4" w:space="0" w:color="00000A"/>
            </w:tcBorders>
            <w:shd w:val="clear" w:color="auto" w:fill="auto"/>
            <w:tcMar>
              <w:left w:w="79" w:type="dxa"/>
            </w:tcMar>
          </w:tcPr>
          <w:p w:rsidR="00CA7085" w:rsidRPr="00506F58" w:rsidRDefault="00CA7085">
            <w:pPr>
              <w:rPr>
                <w:rFonts w:ascii="Arial" w:hAnsi="Arial" w:cs="Arial"/>
                <w:sz w:val="20"/>
              </w:rPr>
            </w:pPr>
          </w:p>
        </w:tc>
      </w:tr>
    </w:tbl>
    <w:p w:rsidR="00CA7085" w:rsidRPr="00506F58" w:rsidRDefault="00CA7085">
      <w:pPr>
        <w:jc w:val="both"/>
        <w:rPr>
          <w:rFonts w:ascii="Arial" w:hAnsi="Arial" w:cs="Arial"/>
          <w:sz w:val="20"/>
        </w:rPr>
      </w:pPr>
    </w:p>
    <w:p w:rsidR="00C4783A" w:rsidRDefault="00C4783A">
      <w:pPr>
        <w:jc w:val="both"/>
      </w:pPr>
    </w:p>
    <w:p w:rsidR="00C4783A" w:rsidRDefault="00C4783A">
      <w:pPr>
        <w:jc w:val="both"/>
      </w:pPr>
    </w:p>
    <w:p w:rsidR="00C4783A" w:rsidRDefault="00C4783A">
      <w:pPr>
        <w:jc w:val="both"/>
      </w:pPr>
    </w:p>
    <w:p w:rsidR="00C4783A" w:rsidRDefault="00265EBA">
      <w:pPr>
        <w:jc w:val="both"/>
      </w:pPr>
      <w:r>
        <w:rPr>
          <w:noProof/>
          <w:lang w:val="es-MX" w:eastAsia="es-MX"/>
        </w:rPr>
        <w:lastRenderedPageBreak/>
        <w:drawing>
          <wp:inline distT="0" distB="0" distL="0" distR="0">
            <wp:extent cx="5962650" cy="39338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2650" cy="3933825"/>
                    </a:xfrm>
                    <a:prstGeom prst="rect">
                      <a:avLst/>
                    </a:prstGeom>
                    <a:noFill/>
                    <a:ln>
                      <a:noFill/>
                    </a:ln>
                  </pic:spPr>
                </pic:pic>
              </a:graphicData>
            </a:graphic>
          </wp:inline>
        </w:drawing>
      </w:r>
    </w:p>
    <w:p w:rsidR="00265EBA" w:rsidRDefault="00265EBA">
      <w:pPr>
        <w:jc w:val="both"/>
      </w:pPr>
      <w:r>
        <w:rPr>
          <w:noProof/>
          <w:lang w:val="es-MX" w:eastAsia="es-MX"/>
        </w:rPr>
        <w:lastRenderedPageBreak/>
        <w:drawing>
          <wp:inline distT="0" distB="0" distL="0" distR="0">
            <wp:extent cx="5972175" cy="41338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4133850"/>
                    </a:xfrm>
                    <a:prstGeom prst="rect">
                      <a:avLst/>
                    </a:prstGeom>
                    <a:noFill/>
                    <a:ln>
                      <a:noFill/>
                    </a:ln>
                  </pic:spPr>
                </pic:pic>
              </a:graphicData>
            </a:graphic>
          </wp:inline>
        </w:drawing>
      </w:r>
    </w:p>
    <w:p w:rsidR="00265EBA" w:rsidRDefault="00265EBA">
      <w:pPr>
        <w:jc w:val="both"/>
      </w:pPr>
      <w:r>
        <w:rPr>
          <w:noProof/>
          <w:lang w:val="es-MX" w:eastAsia="es-MX"/>
        </w:rPr>
        <w:lastRenderedPageBreak/>
        <w:drawing>
          <wp:inline distT="0" distB="0" distL="0" distR="0">
            <wp:extent cx="5972175" cy="40767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175" cy="4076700"/>
                    </a:xfrm>
                    <a:prstGeom prst="rect">
                      <a:avLst/>
                    </a:prstGeom>
                    <a:noFill/>
                    <a:ln>
                      <a:noFill/>
                    </a:ln>
                  </pic:spPr>
                </pic:pic>
              </a:graphicData>
            </a:graphic>
          </wp:inline>
        </w:drawing>
      </w:r>
    </w:p>
    <w:p w:rsidR="00265EBA" w:rsidRDefault="00265EBA">
      <w:pPr>
        <w:jc w:val="both"/>
      </w:pPr>
    </w:p>
    <w:p w:rsidR="00265EBA" w:rsidRDefault="00265EBA">
      <w:pPr>
        <w:jc w:val="both"/>
      </w:pPr>
      <w:r>
        <w:rPr>
          <w:noProof/>
          <w:lang w:val="es-MX" w:eastAsia="es-MX"/>
        </w:rPr>
        <w:lastRenderedPageBreak/>
        <w:drawing>
          <wp:inline distT="0" distB="0" distL="0" distR="0">
            <wp:extent cx="5972175" cy="39147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175" cy="3914775"/>
                    </a:xfrm>
                    <a:prstGeom prst="rect">
                      <a:avLst/>
                    </a:prstGeom>
                    <a:noFill/>
                    <a:ln>
                      <a:noFill/>
                    </a:ln>
                  </pic:spPr>
                </pic:pic>
              </a:graphicData>
            </a:graphic>
          </wp:inline>
        </w:drawing>
      </w:r>
      <w:bookmarkStart w:id="1" w:name="_GoBack"/>
      <w:bookmarkEnd w:id="1"/>
    </w:p>
    <w:sectPr w:rsidR="00265EBA">
      <w:headerReference w:type="default" r:id="rId15"/>
      <w:footerReference w:type="default" r:id="rId16"/>
      <w:pgSz w:w="12240" w:h="15840"/>
      <w:pgMar w:top="1701" w:right="1418" w:bottom="1701" w:left="1418" w:header="851" w:footer="510" w:gutter="0"/>
      <w:cols w:space="720"/>
      <w:formProt w:val="0"/>
      <w:docGrid w:linePitch="326"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2A0B" w:rsidRDefault="002D2A0B">
      <w:r>
        <w:separator/>
      </w:r>
    </w:p>
  </w:endnote>
  <w:endnote w:type="continuationSeparator" w:id="0">
    <w:p w:rsidR="002D2A0B" w:rsidRDefault="002D2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085" w:rsidRDefault="00C402B7">
    <w:pPr>
      <w:pStyle w:val="Piedepgina"/>
    </w:pPr>
    <w:r>
      <w:rPr>
        <w:noProof/>
        <w:lang w:val="es-MX" w:eastAsia="es-MX"/>
      </w:rPr>
      <w:drawing>
        <wp:anchor distT="0" distB="0" distL="114300" distR="114300" simplePos="0" relativeHeight="29" behindDoc="1" locked="0" layoutInCell="1" allowOverlap="1">
          <wp:simplePos x="0" y="0"/>
          <wp:positionH relativeFrom="margin">
            <wp:posOffset>-299085</wp:posOffset>
          </wp:positionH>
          <wp:positionV relativeFrom="paragraph">
            <wp:posOffset>129540</wp:posOffset>
          </wp:positionV>
          <wp:extent cx="6557010" cy="771525"/>
          <wp:effectExtent l="0" t="0" r="0" b="0"/>
          <wp:wrapSquare wrapText="bothSides"/>
          <wp:docPr id="6" name="Imagen 4" descr="C:\comunicaciones\Backcup\Subred Integrada Norte\Logos\Pie de página Car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4" descr="C:\comunicaciones\Backcup\Subred Integrada Norte\Logos\Pie de página Carta..png"/>
                  <pic:cNvPicPr>
                    <a:picLocks noChangeAspect="1" noChangeArrowheads="1"/>
                  </pic:cNvPicPr>
                </pic:nvPicPr>
                <pic:blipFill>
                  <a:blip r:embed="rId1"/>
                  <a:stretch>
                    <a:fillRect/>
                  </a:stretch>
                </pic:blipFill>
                <pic:spPr bwMode="auto">
                  <a:xfrm>
                    <a:off x="0" y="0"/>
                    <a:ext cx="6557010" cy="771525"/>
                  </a:xfrm>
                  <a:prstGeom prst="rect">
                    <a:avLst/>
                  </a:prstGeom>
                </pic:spPr>
              </pic:pic>
            </a:graphicData>
          </a:graphic>
        </wp:anchor>
      </w:drawing>
    </w:r>
  </w:p>
  <w:p w:rsidR="00CA7085" w:rsidRDefault="00CA7085">
    <w:pPr>
      <w:pStyle w:val="Piedepgina"/>
    </w:pPr>
  </w:p>
  <w:p w:rsidR="00CA7085" w:rsidRDefault="00CA7085">
    <w:pPr>
      <w:pStyle w:val="Piedepgina"/>
    </w:pPr>
  </w:p>
  <w:p w:rsidR="00CA7085" w:rsidRDefault="00CA7085">
    <w:pPr>
      <w:pStyle w:val="Piedepgina"/>
    </w:pPr>
  </w:p>
  <w:p w:rsidR="00CA7085" w:rsidRDefault="00CA708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2A0B" w:rsidRDefault="002D2A0B">
      <w:r>
        <w:separator/>
      </w:r>
    </w:p>
  </w:footnote>
  <w:footnote w:type="continuationSeparator" w:id="0">
    <w:p w:rsidR="002D2A0B" w:rsidRDefault="002D2A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49" w:type="dxa"/>
      <w:tblInd w:w="-31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646"/>
      <w:gridCol w:w="5325"/>
      <w:gridCol w:w="2378"/>
    </w:tblGrid>
    <w:tr w:rsidR="00CA7085">
      <w:trPr>
        <w:trHeight w:val="340"/>
      </w:trPr>
      <w:tc>
        <w:tcPr>
          <w:tcW w:w="264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A7085" w:rsidRDefault="00C402B7">
          <w:pPr>
            <w:pStyle w:val="Encabezado"/>
            <w:rPr>
              <w:rFonts w:ascii="Century Gothic" w:hAnsi="Century Gothic"/>
              <w:lang w:eastAsia="es-CO"/>
            </w:rPr>
          </w:pPr>
          <w:r>
            <w:rPr>
              <w:rFonts w:ascii="Century Gothic" w:hAnsi="Century Gothic"/>
              <w:lang w:eastAsia="es-CO"/>
            </w:rPr>
            <w:t xml:space="preserve">    </w:t>
          </w:r>
        </w:p>
        <w:p w:rsidR="00CA7085" w:rsidRDefault="00C402B7">
          <w:pPr>
            <w:pStyle w:val="Encabezado"/>
            <w:rPr>
              <w:sz w:val="20"/>
            </w:rPr>
          </w:pPr>
          <w:r>
            <w:rPr>
              <w:noProof/>
              <w:lang w:val="es-MX" w:eastAsia="es-MX"/>
            </w:rPr>
            <w:drawing>
              <wp:inline distT="0" distB="0" distL="0" distR="0">
                <wp:extent cx="1543050" cy="466725"/>
                <wp:effectExtent l="0" t="0" r="0" b="0"/>
                <wp:docPr id="1"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 Imagen"/>
                        <pic:cNvPicPr>
                          <a:picLocks noChangeAspect="1" noChangeArrowheads="1"/>
                        </pic:cNvPicPr>
                      </pic:nvPicPr>
                      <pic:blipFill>
                        <a:blip r:embed="rId1"/>
                        <a:stretch>
                          <a:fillRect/>
                        </a:stretch>
                      </pic:blipFill>
                      <pic:spPr bwMode="auto">
                        <a:xfrm>
                          <a:off x="0" y="0"/>
                          <a:ext cx="1543050" cy="466725"/>
                        </a:xfrm>
                        <a:prstGeom prst="rect">
                          <a:avLst/>
                        </a:prstGeom>
                      </pic:spPr>
                    </pic:pic>
                  </a:graphicData>
                </a:graphic>
              </wp:inline>
            </w:drawing>
          </w:r>
        </w:p>
      </w:tc>
      <w:tc>
        <w:tcPr>
          <w:tcW w:w="5325"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A7085" w:rsidRDefault="00C402B7">
          <w:pPr>
            <w:pStyle w:val="Encabezado"/>
            <w:jc w:val="center"/>
            <w:rPr>
              <w:rFonts w:ascii="Century Gothic" w:hAnsi="Century Gothic"/>
              <w:b/>
              <w:sz w:val="20"/>
            </w:rPr>
          </w:pPr>
          <w:r>
            <w:rPr>
              <w:rFonts w:ascii="Century Gothic" w:hAnsi="Century Gothic"/>
              <w:b/>
              <w:noProof/>
              <w:sz w:val="20"/>
              <w:lang w:val="es-MX" w:eastAsia="es-MX"/>
            </w:rPr>
            <mc:AlternateContent>
              <mc:Choice Requires="wps">
                <w:drawing>
                  <wp:anchor distT="0" distB="0" distL="114300" distR="114300" simplePos="0" relativeHeight="15" behindDoc="1" locked="0" layoutInCell="1" allowOverlap="1" wp14:anchorId="07FF2FCE">
                    <wp:simplePos x="0" y="0"/>
                    <wp:positionH relativeFrom="column">
                      <wp:posOffset>-40640</wp:posOffset>
                    </wp:positionH>
                    <wp:positionV relativeFrom="paragraph">
                      <wp:posOffset>24765</wp:posOffset>
                    </wp:positionV>
                    <wp:extent cx="3230245" cy="351790"/>
                    <wp:effectExtent l="0" t="0" r="27940" b="10795"/>
                    <wp:wrapNone/>
                    <wp:docPr id="2" name="Text Box 43"/>
                    <wp:cNvGraphicFramePr/>
                    <a:graphic xmlns:a="http://schemas.openxmlformats.org/drawingml/2006/main">
                      <a:graphicData uri="http://schemas.microsoft.com/office/word/2010/wordprocessingShape">
                        <wps:wsp>
                          <wps:cNvSpPr/>
                          <wps:spPr>
                            <a:xfrm>
                              <a:off x="0" y="0"/>
                              <a:ext cx="3229560" cy="351000"/>
                            </a:xfrm>
                            <a:prstGeom prst="rect">
                              <a:avLst/>
                            </a:prstGeom>
                            <a:solidFill>
                              <a:srgbClr val="FFFFFF"/>
                            </a:solidFill>
                            <a:ln w="9360">
                              <a:solidFill>
                                <a:schemeClr val="bg1">
                                  <a:lumMod val="100000"/>
                                  <a:lumOff val="0"/>
                                </a:schemeClr>
                              </a:solidFill>
                              <a:miter/>
                            </a:ln>
                          </wps:spPr>
                          <wps:style>
                            <a:lnRef idx="0">
                              <a:scrgbClr r="0" g="0" b="0"/>
                            </a:lnRef>
                            <a:fillRef idx="0">
                              <a:scrgbClr r="0" g="0" b="0"/>
                            </a:fillRef>
                            <a:effectRef idx="0">
                              <a:scrgbClr r="0" g="0" b="0"/>
                            </a:effectRef>
                            <a:fontRef idx="minor"/>
                          </wps:style>
                          <wps:txbx>
                            <w:txbxContent>
                              <w:p w:rsidR="00CA7085" w:rsidRDefault="00C402B7">
                                <w:pPr>
                                  <w:pStyle w:val="Contenidodelmarco"/>
                                  <w:jc w:val="center"/>
                                  <w:rPr>
                                    <w:rFonts w:ascii="Century Gothic" w:hAnsi="Century Gothic"/>
                                    <w:b/>
                                    <w:sz w:val="22"/>
                                    <w:szCs w:val="22"/>
                                  </w:rPr>
                                </w:pPr>
                                <w:r>
                                  <w:rPr>
                                    <w:rFonts w:ascii="Century Gothic" w:hAnsi="Century Gothic"/>
                                    <w:b/>
                                    <w:sz w:val="22"/>
                                    <w:szCs w:val="22"/>
                                  </w:rPr>
                                  <w:t>ACTA DE REUNIÓN</w:t>
                                </w:r>
                              </w:p>
                            </w:txbxContent>
                          </wps:txbx>
                          <wps:bodyPr>
                            <a:noAutofit/>
                          </wps:bodyPr>
                        </wps:wsp>
                      </a:graphicData>
                    </a:graphic>
                  </wp:anchor>
                </w:drawing>
              </mc:Choice>
              <mc:Fallback>
                <w:pict>
                  <v:rect id="Text Box 43" o:spid="_x0000_s1026" style="position:absolute;left:0;text-align:left;margin-left:-3.2pt;margin-top:1.95pt;width:254.35pt;height:27.7pt;z-index:-5033164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69bBgIAAIkEAAAOAAAAZHJzL2Uyb0RvYy54bWysVNtu2zAMfR+wfxD0vthJ1mI14hTbiuxl&#10;l2JtP0CRpUSAJBqSEjt/P4p23G556lA/6EoeHh5SXt32zrKjCtGAr/l8VnKmvITG+F3Nnx43Hz5x&#10;FpPwjbDgVc1PKvLb9ft3q66t1AL2YBsVGIL4WHVtzfcptVVRRLlXTsQZtMrjpYbgRMJt2BVNEB2i&#10;O1ssyvK66CA0bQCpYsTTu+GSrwlfayXTL62jSszWHLklGgON2zwW65WodkG0eyNHGuI/WDhhPAad&#10;oO5EEuwQzAWUMzJABJ1mElwBWhupKAfMZl7+k83DXrSKckFxYjvJFN8OVv483gdmmpovOPPCYYke&#10;VZ/YF+jZx2WWp2tjhVYP7X0YdxGXOddeB5dnzIL1JOlpkjRjSDxcLhY3V9eovMS75dW8LEnz4tm7&#10;DTF9U+BYXtQ8YMlISXH8HhNGRNOzSQ4WwZpmY6ylTdhtv9rAjgLLu6EvU0aXv8ysZ13Nb5bI4xIi&#10;d5qaQLa7OdnYg/sBzQCcSQ+0RYXn2FDD+TkTatYMcRnZmaSybMjIepyymIN8tEonqzIj638rjVUg&#10;FYmiHDMbWhXfEkp4blgCQ4dsqFGJV/qOLtlb0Qt5pf/kRPHBp8nfGQ+BCvAiu7xM/bYfm2cLzWlo&#10;Hw+fDwm0oSJnq/MVqYT9TrKNbzM/qJd70vL5D7L+AwAA//8DAFBLAwQUAAYACAAAACEAjtHeXd0A&#10;AAAHAQAADwAAAGRycy9kb3ducmV2LnhtbEyOQUvDQBCF74L/YRnBW7uxaUsTsylSyEEEwdiDx212&#10;TEKzs+nuto3/3vFkb/N4j2++YjvZQVzQh96Rgqd5AgKpcaanVsH+s5ptQISoyejBESr4wQDb8v6u&#10;0LlxV/rASx1bwRAKuVbQxTjmUoamQ6vD3I1I3H07b3Xk6FtpvL4y3A5ykSRraXVP/KHTI+46bI71&#10;2TIFj1+nV3yv62x52q82vnqTu0qpx4fp5RlExCn+j+FPn9WhZKeDO5MJYlAwWy95qSDNQHC9ShYp&#10;iAMfWQqyLOStf/kLAAD//wMAUEsBAi0AFAAGAAgAAAAhALaDOJL+AAAA4QEAABMAAAAAAAAAAAAA&#10;AAAAAAAAAFtDb250ZW50X1R5cGVzXS54bWxQSwECLQAUAAYACAAAACEAOP0h/9YAAACUAQAACwAA&#10;AAAAAAAAAAAAAAAvAQAAX3JlbHMvLnJlbHNQSwECLQAUAAYACAAAACEAyjevWwYCAACJBAAADgAA&#10;AAAAAAAAAAAAAAAuAgAAZHJzL2Uyb0RvYy54bWxQSwECLQAUAAYACAAAACEAjtHeXd0AAAAHAQAA&#10;DwAAAAAAAAAAAAAAAABgBAAAZHJzL2Rvd25yZXYueG1sUEsFBgAAAAAEAAQA8wAAAGoFAAAAAA==&#10;" strokecolor="white [3212]" strokeweight=".26mm">
                    <v:textbox>
                      <w:txbxContent>
                        <w:p w:rsidR="00CA7085" w:rsidRDefault="00C402B7">
                          <w:pPr>
                            <w:pStyle w:val="Contenidodelmarco"/>
                            <w:jc w:val="center"/>
                            <w:rPr>
                              <w:rFonts w:ascii="Century Gothic" w:hAnsi="Century Gothic"/>
                              <w:b/>
                              <w:sz w:val="22"/>
                              <w:szCs w:val="22"/>
                            </w:rPr>
                          </w:pPr>
                          <w:r>
                            <w:rPr>
                              <w:rFonts w:ascii="Century Gothic" w:hAnsi="Century Gothic"/>
                              <w:b/>
                              <w:sz w:val="22"/>
                              <w:szCs w:val="22"/>
                            </w:rPr>
                            <w:t>ACTA DE REUNIÓN</w:t>
                          </w:r>
                        </w:p>
                      </w:txbxContent>
                    </v:textbox>
                  </v:rect>
                </w:pict>
              </mc:Fallback>
            </mc:AlternateContent>
          </w:r>
        </w:p>
      </w:tc>
      <w:tc>
        <w:tcPr>
          <w:tcW w:w="2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A7085" w:rsidRDefault="00C402B7">
          <w:pPr>
            <w:pStyle w:val="Encabezado"/>
            <w:jc w:val="both"/>
            <w:rPr>
              <w:rFonts w:ascii="Century Gothic" w:hAnsi="Century Gothic"/>
              <w:sz w:val="18"/>
            </w:rPr>
          </w:pPr>
          <w:r>
            <w:rPr>
              <w:rFonts w:ascii="Century Gothic" w:hAnsi="Century Gothic"/>
              <w:sz w:val="18"/>
            </w:rPr>
            <w:t>CODIGO:GD-F-10-04</w:t>
          </w:r>
        </w:p>
      </w:tc>
    </w:tr>
    <w:tr w:rsidR="00CA7085">
      <w:trPr>
        <w:trHeight w:val="340"/>
      </w:trPr>
      <w:tc>
        <w:tcPr>
          <w:tcW w:w="264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A7085" w:rsidRDefault="00CA7085">
          <w:pPr>
            <w:pStyle w:val="Encabezado"/>
            <w:rPr>
              <w:sz w:val="20"/>
            </w:rPr>
          </w:pPr>
        </w:p>
      </w:tc>
      <w:tc>
        <w:tcPr>
          <w:tcW w:w="532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A7085" w:rsidRDefault="00CA7085">
          <w:pPr>
            <w:pStyle w:val="Encabezado"/>
            <w:jc w:val="center"/>
            <w:rPr>
              <w:rFonts w:ascii="Century Gothic" w:hAnsi="Century Gothic"/>
              <w:sz w:val="20"/>
            </w:rPr>
          </w:pPr>
        </w:p>
      </w:tc>
      <w:tc>
        <w:tcPr>
          <w:tcW w:w="2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A7085" w:rsidRDefault="00C402B7">
          <w:pPr>
            <w:pStyle w:val="Encabezado"/>
            <w:jc w:val="both"/>
            <w:rPr>
              <w:rFonts w:ascii="Century Gothic" w:hAnsi="Century Gothic"/>
              <w:sz w:val="18"/>
            </w:rPr>
          </w:pPr>
          <w:r>
            <w:rPr>
              <w:rFonts w:ascii="Century Gothic" w:hAnsi="Century Gothic"/>
              <w:sz w:val="18"/>
            </w:rPr>
            <w:t>VERSION: 4</w:t>
          </w:r>
        </w:p>
      </w:tc>
    </w:tr>
    <w:tr w:rsidR="00CA7085">
      <w:trPr>
        <w:trHeight w:val="397"/>
      </w:trPr>
      <w:tc>
        <w:tcPr>
          <w:tcW w:w="264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A7085" w:rsidRDefault="00CA7085">
          <w:pPr>
            <w:pStyle w:val="Encabezado"/>
            <w:rPr>
              <w:sz w:val="20"/>
            </w:rPr>
          </w:pPr>
        </w:p>
      </w:tc>
      <w:tc>
        <w:tcPr>
          <w:tcW w:w="5325"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A7085" w:rsidRDefault="00C402B7">
          <w:pPr>
            <w:pStyle w:val="Encabezado"/>
            <w:jc w:val="center"/>
            <w:rPr>
              <w:rFonts w:ascii="Century Gothic" w:hAnsi="Century Gothic"/>
              <w:sz w:val="20"/>
            </w:rPr>
          </w:pPr>
          <w:r>
            <w:rPr>
              <w:rFonts w:ascii="Century Gothic" w:hAnsi="Century Gothic"/>
              <w:noProof/>
              <w:sz w:val="20"/>
              <w:lang w:val="es-MX" w:eastAsia="es-MX"/>
            </w:rPr>
            <mc:AlternateContent>
              <mc:Choice Requires="wps">
                <w:drawing>
                  <wp:anchor distT="0" distB="0" distL="114300" distR="114300" simplePos="0" relativeHeight="8" behindDoc="1" locked="0" layoutInCell="1" allowOverlap="1" wp14:anchorId="30E9B140">
                    <wp:simplePos x="0" y="0"/>
                    <wp:positionH relativeFrom="column">
                      <wp:posOffset>-40640</wp:posOffset>
                    </wp:positionH>
                    <wp:positionV relativeFrom="paragraph">
                      <wp:posOffset>13335</wp:posOffset>
                    </wp:positionV>
                    <wp:extent cx="3289300" cy="445135"/>
                    <wp:effectExtent l="0" t="0" r="26035" b="12700"/>
                    <wp:wrapNone/>
                    <wp:docPr id="4" name="Text Box 42"/>
                    <wp:cNvGraphicFramePr/>
                    <a:graphic xmlns:a="http://schemas.openxmlformats.org/drawingml/2006/main">
                      <a:graphicData uri="http://schemas.microsoft.com/office/word/2010/wordprocessingShape">
                        <wps:wsp>
                          <wps:cNvSpPr/>
                          <wps:spPr>
                            <a:xfrm>
                              <a:off x="0" y="0"/>
                              <a:ext cx="3288600" cy="444600"/>
                            </a:xfrm>
                            <a:prstGeom prst="rect">
                              <a:avLst/>
                            </a:prstGeom>
                            <a:solidFill>
                              <a:srgbClr val="FFFFFF"/>
                            </a:solidFill>
                            <a:ln w="9360">
                              <a:solidFill>
                                <a:schemeClr val="bg1">
                                  <a:lumMod val="100000"/>
                                  <a:lumOff val="0"/>
                                </a:schemeClr>
                              </a:solidFill>
                              <a:miter/>
                            </a:ln>
                          </wps:spPr>
                          <wps:style>
                            <a:lnRef idx="0">
                              <a:scrgbClr r="0" g="0" b="0"/>
                            </a:lnRef>
                            <a:fillRef idx="0">
                              <a:scrgbClr r="0" g="0" b="0"/>
                            </a:fillRef>
                            <a:effectRef idx="0">
                              <a:scrgbClr r="0" g="0" b="0"/>
                            </a:effectRef>
                            <a:fontRef idx="minor"/>
                          </wps:style>
                          <wps:txbx>
                            <w:txbxContent>
                              <w:p w:rsidR="00CA7085" w:rsidRDefault="00C402B7">
                                <w:pPr>
                                  <w:pStyle w:val="Encabezado"/>
                                  <w:jc w:val="center"/>
                                  <w:rPr>
                                    <w:rFonts w:ascii="Century Gothic" w:hAnsi="Century Gothic"/>
                                    <w:sz w:val="16"/>
                                    <w:szCs w:val="16"/>
                                  </w:rPr>
                                </w:pPr>
                                <w:r>
                                  <w:rPr>
                                    <w:rFonts w:ascii="Century Gothic" w:hAnsi="Century Gothic"/>
                                    <w:sz w:val="16"/>
                                    <w:szCs w:val="16"/>
                                  </w:rPr>
                                  <w:t>SUBRED INTEGRADA DE SERVICIOS DE SALUD NORTE E.S.E.</w:t>
                                </w:r>
                              </w:p>
                              <w:p w:rsidR="00CA7085" w:rsidRDefault="00C402B7">
                                <w:pPr>
                                  <w:pStyle w:val="Encabezado"/>
                                  <w:jc w:val="center"/>
                                  <w:rPr>
                                    <w:rFonts w:ascii="Century Gothic" w:hAnsi="Century Gothic"/>
                                    <w:sz w:val="16"/>
                                    <w:szCs w:val="16"/>
                                  </w:rPr>
                                </w:pPr>
                                <w:r>
                                  <w:rPr>
                                    <w:rFonts w:ascii="Century Gothic" w:hAnsi="Century Gothic"/>
                                    <w:sz w:val="16"/>
                                    <w:szCs w:val="16"/>
                                  </w:rPr>
                                  <w:t>GESTION DE LA INFORMACION Y TICS</w:t>
                                </w:r>
                              </w:p>
                            </w:txbxContent>
                          </wps:txbx>
                          <wps:bodyPr>
                            <a:noAutofit/>
                          </wps:bodyPr>
                        </wps:wsp>
                      </a:graphicData>
                    </a:graphic>
                  </wp:anchor>
                </w:drawing>
              </mc:Choice>
              <mc:Fallback>
                <w:pict>
                  <v:rect id="Text Box 42" o:spid="_x0000_s1027" style="position:absolute;left:0;text-align:left;margin-left:-3.2pt;margin-top:1.05pt;width:259pt;height:35.05pt;z-index:-503316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AxOBQIAAJAEAAAOAAAAZHJzL2Uyb0RvYy54bWysVNuO2yAQfa/Uf0C8N7azUZRacVZtV+lL&#10;L6vd7QcQDAkSNwGJnb/vMHa8Sfu0VXnAAzNz4JwZvL7vjSYnEaJytqHVrKREWO5aZfcN/fWy/bCi&#10;JCZmW6adFQ09i0jvN+/frTtfi7k7ON2KQADExrrzDT2k5OuiiPwgDIsz54UFp3TBsATLsC/awDpA&#10;N7qYl+Wy6FxofXBcxAi7D4OTbhBfSsHTTymjSEQ3FO6WcA447/JcbNas3gfmD4qP12D/cAvDlIVD&#10;J6gHlhg5BvUXlFE8uOhkmnFnCiel4gI5AJuq/IPN84F5gVxAnOgnmeL/g+U/To+BqLahC0osM1Ci&#10;F9En8tn1ZDHP8nQ+1hD17B/DuIpgZq69DCZ/gQXpUdLzJGnG4LB5N1+tliUoz8G3WCyyDTDFa7YP&#10;MX0VzpBsNDRAyVBJdvoW0xB6CcmHRadVu1Va4yLsd190ICcG5d3iGNFvwrQlXUM/3i1LRL7xYaeJ&#10;CWS3rzBGH8131w7AVZlHBmY17ENDDfsXJhME8rpBNyqJLBvw1RY+WcxBPrTSWQtEtU9CQhVQRSTG&#10;R2ZDq8JbAgkvDYtgkJADJSjxxtwxJWcLfCFvzJ+S8Hxn05RvlHUBC3DFLpup3/XYZFX25p2da89D&#10;F1n36ZicVFjraxeKBW2P6o1PNL+r6zVK+voj2fwGAAD//wMAUEsDBBQABgAIAAAAIQDlw87C3QAA&#10;AAcBAAAPAAAAZHJzL2Rvd25yZXYueG1sTI7BTsMwEETvSPyDtUjcWidRG0qIU6FKOSAkJEIPHN14&#10;SaLG69R22/D3LCc4jmb05pXb2Y7igj4MjhSkywQEUuvMQJ2C/Ue92IAIUZPRoyNU8I0BttXtTakL&#10;4670jpcmdoIhFAqtoI9xKqQMbY9Wh6WbkLj7ct7qyNF30nh9ZbgdZZYkubR6IH7o9YS7Httjc7ZM&#10;wePn6QXfmuZxddqvN75+lbtaqfu7+fkJRMQ5/o3hV5/VoWKngzuTCWJUsMhXvFSQpSC4XqdpDuKg&#10;4CHLQFal/O9f/QAAAP//AwBQSwECLQAUAAYACAAAACEAtoM4kv4AAADhAQAAEwAAAAAAAAAAAAAA&#10;AAAAAAAAW0NvbnRlbnRfVHlwZXNdLnhtbFBLAQItABQABgAIAAAAIQA4/SH/1gAAAJQBAAALAAAA&#10;AAAAAAAAAAAAAC8BAABfcmVscy8ucmVsc1BLAQItABQABgAIAAAAIQCPMAxOBQIAAJAEAAAOAAAA&#10;AAAAAAAAAAAAAC4CAABkcnMvZTJvRG9jLnhtbFBLAQItABQABgAIAAAAIQDlw87C3QAAAAcBAAAP&#10;AAAAAAAAAAAAAAAAAF8EAABkcnMvZG93bnJldi54bWxQSwUGAAAAAAQABADzAAAAaQUAAAAA&#10;" strokecolor="white [3212]" strokeweight=".26mm">
                    <v:textbox>
                      <w:txbxContent>
                        <w:p w:rsidR="00CA7085" w:rsidRDefault="00C402B7">
                          <w:pPr>
                            <w:pStyle w:val="Encabezado"/>
                            <w:jc w:val="center"/>
                            <w:rPr>
                              <w:rFonts w:ascii="Century Gothic" w:hAnsi="Century Gothic"/>
                              <w:sz w:val="16"/>
                              <w:szCs w:val="16"/>
                            </w:rPr>
                          </w:pPr>
                          <w:r>
                            <w:rPr>
                              <w:rFonts w:ascii="Century Gothic" w:hAnsi="Century Gothic"/>
                              <w:sz w:val="16"/>
                              <w:szCs w:val="16"/>
                            </w:rPr>
                            <w:t>SUBRED INTEGRADA DE SERVICIOS DE SALUD NORTE E.S.E.</w:t>
                          </w:r>
                        </w:p>
                        <w:p w:rsidR="00CA7085" w:rsidRDefault="00C402B7">
                          <w:pPr>
                            <w:pStyle w:val="Encabezado"/>
                            <w:jc w:val="center"/>
                            <w:rPr>
                              <w:rFonts w:ascii="Century Gothic" w:hAnsi="Century Gothic"/>
                              <w:sz w:val="16"/>
                              <w:szCs w:val="16"/>
                            </w:rPr>
                          </w:pPr>
                          <w:r>
                            <w:rPr>
                              <w:rFonts w:ascii="Century Gothic" w:hAnsi="Century Gothic"/>
                              <w:sz w:val="16"/>
                              <w:szCs w:val="16"/>
                            </w:rPr>
                            <w:t>GESTION DE LA INFORMACION Y TICS</w:t>
                          </w:r>
                        </w:p>
                      </w:txbxContent>
                    </v:textbox>
                  </v:rect>
                </w:pict>
              </mc:Fallback>
            </mc:AlternateContent>
          </w:r>
        </w:p>
      </w:tc>
      <w:tc>
        <w:tcPr>
          <w:tcW w:w="2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A7085" w:rsidRDefault="00C402B7">
          <w:r>
            <w:rPr>
              <w:rFonts w:ascii="Century Gothic" w:hAnsi="Century Gothic"/>
              <w:sz w:val="18"/>
              <w:lang w:val="es-ES"/>
            </w:rPr>
            <w:t>PAGINA:</w:t>
          </w:r>
          <w:r>
            <w:rPr>
              <w:rFonts w:ascii="Century Gothic" w:hAnsi="Century Gothic"/>
              <w:sz w:val="18"/>
              <w:lang w:val="es-ES"/>
            </w:rPr>
            <w:fldChar w:fldCharType="begin"/>
          </w:r>
          <w:r>
            <w:instrText>PAGE</w:instrText>
          </w:r>
          <w:r>
            <w:fldChar w:fldCharType="separate"/>
          </w:r>
          <w:r w:rsidR="00265EBA">
            <w:rPr>
              <w:noProof/>
            </w:rPr>
            <w:t>14</w:t>
          </w:r>
          <w:r>
            <w:fldChar w:fldCharType="end"/>
          </w:r>
          <w:r>
            <w:rPr>
              <w:rFonts w:ascii="Century Gothic" w:hAnsi="Century Gothic"/>
              <w:sz w:val="18"/>
              <w:lang w:val="es-ES"/>
            </w:rPr>
            <w:t xml:space="preserve"> DE </w:t>
          </w:r>
          <w:r>
            <w:rPr>
              <w:rFonts w:ascii="Century Gothic" w:hAnsi="Century Gothic"/>
              <w:sz w:val="18"/>
              <w:lang w:val="es-ES"/>
            </w:rPr>
            <w:fldChar w:fldCharType="begin"/>
          </w:r>
          <w:r>
            <w:instrText>NUMPAGES</w:instrText>
          </w:r>
          <w:r>
            <w:fldChar w:fldCharType="separate"/>
          </w:r>
          <w:r w:rsidR="00265EBA">
            <w:rPr>
              <w:noProof/>
            </w:rPr>
            <w:t>14</w:t>
          </w:r>
          <w:r>
            <w:fldChar w:fldCharType="end"/>
          </w:r>
        </w:p>
      </w:tc>
    </w:tr>
    <w:tr w:rsidR="00CA7085">
      <w:trPr>
        <w:trHeight w:val="425"/>
      </w:trPr>
      <w:tc>
        <w:tcPr>
          <w:tcW w:w="264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A7085" w:rsidRDefault="00CA7085">
          <w:pPr>
            <w:pStyle w:val="Encabezado"/>
            <w:rPr>
              <w:sz w:val="20"/>
            </w:rPr>
          </w:pPr>
        </w:p>
      </w:tc>
      <w:tc>
        <w:tcPr>
          <w:tcW w:w="532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A7085" w:rsidRDefault="00CA7085">
          <w:pPr>
            <w:pStyle w:val="Encabezado"/>
            <w:jc w:val="center"/>
            <w:rPr>
              <w:rFonts w:ascii="Century Gothic" w:hAnsi="Century Gothic"/>
              <w:sz w:val="20"/>
            </w:rPr>
          </w:pPr>
        </w:p>
      </w:tc>
      <w:tc>
        <w:tcPr>
          <w:tcW w:w="2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A7085" w:rsidRDefault="00C402B7">
          <w:pPr>
            <w:pStyle w:val="Encabezado"/>
            <w:jc w:val="both"/>
            <w:rPr>
              <w:rFonts w:ascii="Century Gothic" w:hAnsi="Century Gothic"/>
              <w:sz w:val="18"/>
            </w:rPr>
          </w:pPr>
          <w:r>
            <w:rPr>
              <w:rFonts w:ascii="Century Gothic" w:hAnsi="Century Gothic"/>
              <w:sz w:val="18"/>
            </w:rPr>
            <w:t>FECHA: 01/06/2017</w:t>
          </w:r>
        </w:p>
      </w:tc>
    </w:tr>
  </w:tbl>
  <w:p w:rsidR="00CA7085" w:rsidRDefault="00CA7085">
    <w:pPr>
      <w:pStyle w:val="Encabezado"/>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56F9E"/>
    <w:multiLevelType w:val="hybridMultilevel"/>
    <w:tmpl w:val="63308386"/>
    <w:lvl w:ilvl="0" w:tplc="0ADAA18E">
      <w:start w:val="5"/>
      <w:numFmt w:val="decimal"/>
      <w:lvlText w:val="%1"/>
      <w:lvlJc w:val="left"/>
      <w:pPr>
        <w:ind w:left="1115" w:hanging="360"/>
      </w:pPr>
      <w:rPr>
        <w:rFonts w:hint="default"/>
      </w:rPr>
    </w:lvl>
    <w:lvl w:ilvl="1" w:tplc="080A0019" w:tentative="1">
      <w:start w:val="1"/>
      <w:numFmt w:val="lowerLetter"/>
      <w:lvlText w:val="%2."/>
      <w:lvlJc w:val="left"/>
      <w:pPr>
        <w:ind w:left="1835" w:hanging="360"/>
      </w:pPr>
    </w:lvl>
    <w:lvl w:ilvl="2" w:tplc="080A001B" w:tentative="1">
      <w:start w:val="1"/>
      <w:numFmt w:val="lowerRoman"/>
      <w:lvlText w:val="%3."/>
      <w:lvlJc w:val="right"/>
      <w:pPr>
        <w:ind w:left="2555" w:hanging="180"/>
      </w:pPr>
    </w:lvl>
    <w:lvl w:ilvl="3" w:tplc="080A000F" w:tentative="1">
      <w:start w:val="1"/>
      <w:numFmt w:val="decimal"/>
      <w:lvlText w:val="%4."/>
      <w:lvlJc w:val="left"/>
      <w:pPr>
        <w:ind w:left="3275" w:hanging="360"/>
      </w:pPr>
    </w:lvl>
    <w:lvl w:ilvl="4" w:tplc="080A0019" w:tentative="1">
      <w:start w:val="1"/>
      <w:numFmt w:val="lowerLetter"/>
      <w:lvlText w:val="%5."/>
      <w:lvlJc w:val="left"/>
      <w:pPr>
        <w:ind w:left="3995" w:hanging="360"/>
      </w:pPr>
    </w:lvl>
    <w:lvl w:ilvl="5" w:tplc="080A001B" w:tentative="1">
      <w:start w:val="1"/>
      <w:numFmt w:val="lowerRoman"/>
      <w:lvlText w:val="%6."/>
      <w:lvlJc w:val="right"/>
      <w:pPr>
        <w:ind w:left="4715" w:hanging="180"/>
      </w:pPr>
    </w:lvl>
    <w:lvl w:ilvl="6" w:tplc="080A000F" w:tentative="1">
      <w:start w:val="1"/>
      <w:numFmt w:val="decimal"/>
      <w:lvlText w:val="%7."/>
      <w:lvlJc w:val="left"/>
      <w:pPr>
        <w:ind w:left="5435" w:hanging="360"/>
      </w:pPr>
    </w:lvl>
    <w:lvl w:ilvl="7" w:tplc="080A0019" w:tentative="1">
      <w:start w:val="1"/>
      <w:numFmt w:val="lowerLetter"/>
      <w:lvlText w:val="%8."/>
      <w:lvlJc w:val="left"/>
      <w:pPr>
        <w:ind w:left="6155" w:hanging="360"/>
      </w:pPr>
    </w:lvl>
    <w:lvl w:ilvl="8" w:tplc="080A001B" w:tentative="1">
      <w:start w:val="1"/>
      <w:numFmt w:val="lowerRoman"/>
      <w:lvlText w:val="%9."/>
      <w:lvlJc w:val="right"/>
      <w:pPr>
        <w:ind w:left="6875" w:hanging="180"/>
      </w:pPr>
    </w:lvl>
  </w:abstractNum>
  <w:abstractNum w:abstractNumId="1">
    <w:nsid w:val="036E36AA"/>
    <w:multiLevelType w:val="hybridMultilevel"/>
    <w:tmpl w:val="B1325DF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28F26E5"/>
    <w:multiLevelType w:val="hybridMultilevel"/>
    <w:tmpl w:val="D04EC73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45D73F2"/>
    <w:multiLevelType w:val="hybridMultilevel"/>
    <w:tmpl w:val="E1DC44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907531B"/>
    <w:multiLevelType w:val="hybridMultilevel"/>
    <w:tmpl w:val="D75EAB1E"/>
    <w:lvl w:ilvl="0" w:tplc="080A0001">
      <w:start w:val="1"/>
      <w:numFmt w:val="bullet"/>
      <w:lvlText w:val=""/>
      <w:lvlJc w:val="left"/>
      <w:pPr>
        <w:ind w:left="1080" w:hanging="360"/>
      </w:pPr>
      <w:rPr>
        <w:rFonts w:ascii="Symbol" w:hAnsi="Symbo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19132D14"/>
    <w:multiLevelType w:val="hybridMultilevel"/>
    <w:tmpl w:val="5DBEDA96"/>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6">
    <w:nsid w:val="1D283CB9"/>
    <w:multiLevelType w:val="hybridMultilevel"/>
    <w:tmpl w:val="8B8AB4E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F6A4E75"/>
    <w:multiLevelType w:val="hybridMultilevel"/>
    <w:tmpl w:val="12D2631E"/>
    <w:lvl w:ilvl="0" w:tplc="708AC6AA">
      <w:start w:val="3"/>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
    <w:nsid w:val="2CAE3B28"/>
    <w:multiLevelType w:val="multilevel"/>
    <w:tmpl w:val="5140999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nsid w:val="310D6C25"/>
    <w:multiLevelType w:val="hybridMultilevel"/>
    <w:tmpl w:val="0B8A0B18"/>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0">
    <w:nsid w:val="314C6F0E"/>
    <w:multiLevelType w:val="hybridMultilevel"/>
    <w:tmpl w:val="5416303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79459DC"/>
    <w:multiLevelType w:val="hybridMultilevel"/>
    <w:tmpl w:val="B038D9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1965694"/>
    <w:multiLevelType w:val="multilevel"/>
    <w:tmpl w:val="59E656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46F0DD8"/>
    <w:multiLevelType w:val="hybridMultilevel"/>
    <w:tmpl w:val="88AA4538"/>
    <w:lvl w:ilvl="0" w:tplc="46602FF0">
      <w:start w:val="5"/>
      <w:numFmt w:val="decimal"/>
      <w:lvlText w:val="%1."/>
      <w:lvlJc w:val="left"/>
      <w:pPr>
        <w:ind w:left="3240" w:hanging="360"/>
      </w:pPr>
      <w:rPr>
        <w:rFonts w:hint="default"/>
      </w:rPr>
    </w:lvl>
    <w:lvl w:ilvl="1" w:tplc="080A0019" w:tentative="1">
      <w:start w:val="1"/>
      <w:numFmt w:val="lowerLetter"/>
      <w:lvlText w:val="%2."/>
      <w:lvlJc w:val="left"/>
      <w:pPr>
        <w:ind w:left="3960" w:hanging="360"/>
      </w:pPr>
    </w:lvl>
    <w:lvl w:ilvl="2" w:tplc="080A001B" w:tentative="1">
      <w:start w:val="1"/>
      <w:numFmt w:val="lowerRoman"/>
      <w:lvlText w:val="%3."/>
      <w:lvlJc w:val="right"/>
      <w:pPr>
        <w:ind w:left="4680" w:hanging="180"/>
      </w:pPr>
    </w:lvl>
    <w:lvl w:ilvl="3" w:tplc="080A000F" w:tentative="1">
      <w:start w:val="1"/>
      <w:numFmt w:val="decimal"/>
      <w:lvlText w:val="%4."/>
      <w:lvlJc w:val="left"/>
      <w:pPr>
        <w:ind w:left="5400" w:hanging="360"/>
      </w:pPr>
    </w:lvl>
    <w:lvl w:ilvl="4" w:tplc="080A0019" w:tentative="1">
      <w:start w:val="1"/>
      <w:numFmt w:val="lowerLetter"/>
      <w:lvlText w:val="%5."/>
      <w:lvlJc w:val="left"/>
      <w:pPr>
        <w:ind w:left="6120" w:hanging="360"/>
      </w:pPr>
    </w:lvl>
    <w:lvl w:ilvl="5" w:tplc="080A001B" w:tentative="1">
      <w:start w:val="1"/>
      <w:numFmt w:val="lowerRoman"/>
      <w:lvlText w:val="%6."/>
      <w:lvlJc w:val="right"/>
      <w:pPr>
        <w:ind w:left="6840" w:hanging="180"/>
      </w:pPr>
    </w:lvl>
    <w:lvl w:ilvl="6" w:tplc="080A000F" w:tentative="1">
      <w:start w:val="1"/>
      <w:numFmt w:val="decimal"/>
      <w:lvlText w:val="%7."/>
      <w:lvlJc w:val="left"/>
      <w:pPr>
        <w:ind w:left="7560" w:hanging="360"/>
      </w:pPr>
    </w:lvl>
    <w:lvl w:ilvl="7" w:tplc="080A0019" w:tentative="1">
      <w:start w:val="1"/>
      <w:numFmt w:val="lowerLetter"/>
      <w:lvlText w:val="%8."/>
      <w:lvlJc w:val="left"/>
      <w:pPr>
        <w:ind w:left="8280" w:hanging="360"/>
      </w:pPr>
    </w:lvl>
    <w:lvl w:ilvl="8" w:tplc="080A001B" w:tentative="1">
      <w:start w:val="1"/>
      <w:numFmt w:val="lowerRoman"/>
      <w:lvlText w:val="%9."/>
      <w:lvlJc w:val="right"/>
      <w:pPr>
        <w:ind w:left="9000" w:hanging="180"/>
      </w:pPr>
    </w:lvl>
  </w:abstractNum>
  <w:abstractNum w:abstractNumId="14">
    <w:nsid w:val="44F0688C"/>
    <w:multiLevelType w:val="hybridMultilevel"/>
    <w:tmpl w:val="1D6046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52322BC"/>
    <w:multiLevelType w:val="hybridMultilevel"/>
    <w:tmpl w:val="85349966"/>
    <w:lvl w:ilvl="0" w:tplc="42D42270">
      <w:start w:val="1"/>
      <w:numFmt w:val="decimal"/>
      <w:lvlText w:val="%1."/>
      <w:lvlJc w:val="left"/>
      <w:pPr>
        <w:tabs>
          <w:tab w:val="num" w:pos="720"/>
        </w:tabs>
        <w:ind w:left="720" w:hanging="360"/>
      </w:pPr>
    </w:lvl>
    <w:lvl w:ilvl="1" w:tplc="6BC27912" w:tentative="1">
      <w:start w:val="1"/>
      <w:numFmt w:val="decimal"/>
      <w:lvlText w:val="%2."/>
      <w:lvlJc w:val="left"/>
      <w:pPr>
        <w:tabs>
          <w:tab w:val="num" w:pos="1440"/>
        </w:tabs>
        <w:ind w:left="1440" w:hanging="360"/>
      </w:pPr>
    </w:lvl>
    <w:lvl w:ilvl="2" w:tplc="08D428DC" w:tentative="1">
      <w:start w:val="1"/>
      <w:numFmt w:val="decimal"/>
      <w:lvlText w:val="%3."/>
      <w:lvlJc w:val="left"/>
      <w:pPr>
        <w:tabs>
          <w:tab w:val="num" w:pos="2160"/>
        </w:tabs>
        <w:ind w:left="2160" w:hanging="360"/>
      </w:pPr>
    </w:lvl>
    <w:lvl w:ilvl="3" w:tplc="021C60E0" w:tentative="1">
      <w:start w:val="1"/>
      <w:numFmt w:val="decimal"/>
      <w:lvlText w:val="%4."/>
      <w:lvlJc w:val="left"/>
      <w:pPr>
        <w:tabs>
          <w:tab w:val="num" w:pos="2880"/>
        </w:tabs>
        <w:ind w:left="2880" w:hanging="360"/>
      </w:pPr>
    </w:lvl>
    <w:lvl w:ilvl="4" w:tplc="DFF2F53A" w:tentative="1">
      <w:start w:val="1"/>
      <w:numFmt w:val="decimal"/>
      <w:lvlText w:val="%5."/>
      <w:lvlJc w:val="left"/>
      <w:pPr>
        <w:tabs>
          <w:tab w:val="num" w:pos="3600"/>
        </w:tabs>
        <w:ind w:left="3600" w:hanging="360"/>
      </w:pPr>
    </w:lvl>
    <w:lvl w:ilvl="5" w:tplc="44F4938C" w:tentative="1">
      <w:start w:val="1"/>
      <w:numFmt w:val="decimal"/>
      <w:lvlText w:val="%6."/>
      <w:lvlJc w:val="left"/>
      <w:pPr>
        <w:tabs>
          <w:tab w:val="num" w:pos="4320"/>
        </w:tabs>
        <w:ind w:left="4320" w:hanging="360"/>
      </w:pPr>
    </w:lvl>
    <w:lvl w:ilvl="6" w:tplc="EF02ABB6" w:tentative="1">
      <w:start w:val="1"/>
      <w:numFmt w:val="decimal"/>
      <w:lvlText w:val="%7."/>
      <w:lvlJc w:val="left"/>
      <w:pPr>
        <w:tabs>
          <w:tab w:val="num" w:pos="5040"/>
        </w:tabs>
        <w:ind w:left="5040" w:hanging="360"/>
      </w:pPr>
    </w:lvl>
    <w:lvl w:ilvl="7" w:tplc="D5FA8E66" w:tentative="1">
      <w:start w:val="1"/>
      <w:numFmt w:val="decimal"/>
      <w:lvlText w:val="%8."/>
      <w:lvlJc w:val="left"/>
      <w:pPr>
        <w:tabs>
          <w:tab w:val="num" w:pos="5760"/>
        </w:tabs>
        <w:ind w:left="5760" w:hanging="360"/>
      </w:pPr>
    </w:lvl>
    <w:lvl w:ilvl="8" w:tplc="75F6D328" w:tentative="1">
      <w:start w:val="1"/>
      <w:numFmt w:val="decimal"/>
      <w:lvlText w:val="%9."/>
      <w:lvlJc w:val="left"/>
      <w:pPr>
        <w:tabs>
          <w:tab w:val="num" w:pos="6480"/>
        </w:tabs>
        <w:ind w:left="6480" w:hanging="360"/>
      </w:pPr>
    </w:lvl>
  </w:abstractNum>
  <w:abstractNum w:abstractNumId="16">
    <w:nsid w:val="452A256D"/>
    <w:multiLevelType w:val="hybridMultilevel"/>
    <w:tmpl w:val="6F105BE6"/>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7">
    <w:nsid w:val="49E16E73"/>
    <w:multiLevelType w:val="hybridMultilevel"/>
    <w:tmpl w:val="11262BFE"/>
    <w:lvl w:ilvl="0" w:tplc="31BC822A">
      <w:start w:val="1"/>
      <w:numFmt w:val="bullet"/>
      <w:lvlText w:val="•"/>
      <w:lvlJc w:val="left"/>
      <w:pPr>
        <w:tabs>
          <w:tab w:val="num" w:pos="720"/>
        </w:tabs>
        <w:ind w:left="720" w:hanging="360"/>
      </w:pPr>
      <w:rPr>
        <w:rFonts w:ascii="Arial" w:hAnsi="Arial" w:hint="default"/>
      </w:rPr>
    </w:lvl>
    <w:lvl w:ilvl="1" w:tplc="07E68146" w:tentative="1">
      <w:start w:val="1"/>
      <w:numFmt w:val="bullet"/>
      <w:lvlText w:val="•"/>
      <w:lvlJc w:val="left"/>
      <w:pPr>
        <w:tabs>
          <w:tab w:val="num" w:pos="1440"/>
        </w:tabs>
        <w:ind w:left="1440" w:hanging="360"/>
      </w:pPr>
      <w:rPr>
        <w:rFonts w:ascii="Arial" w:hAnsi="Arial" w:hint="default"/>
      </w:rPr>
    </w:lvl>
    <w:lvl w:ilvl="2" w:tplc="F294B01E" w:tentative="1">
      <w:start w:val="1"/>
      <w:numFmt w:val="bullet"/>
      <w:lvlText w:val="•"/>
      <w:lvlJc w:val="left"/>
      <w:pPr>
        <w:tabs>
          <w:tab w:val="num" w:pos="2160"/>
        </w:tabs>
        <w:ind w:left="2160" w:hanging="360"/>
      </w:pPr>
      <w:rPr>
        <w:rFonts w:ascii="Arial" w:hAnsi="Arial" w:hint="default"/>
      </w:rPr>
    </w:lvl>
    <w:lvl w:ilvl="3" w:tplc="E154CDCE" w:tentative="1">
      <w:start w:val="1"/>
      <w:numFmt w:val="bullet"/>
      <w:lvlText w:val="•"/>
      <w:lvlJc w:val="left"/>
      <w:pPr>
        <w:tabs>
          <w:tab w:val="num" w:pos="2880"/>
        </w:tabs>
        <w:ind w:left="2880" w:hanging="360"/>
      </w:pPr>
      <w:rPr>
        <w:rFonts w:ascii="Arial" w:hAnsi="Arial" w:hint="default"/>
      </w:rPr>
    </w:lvl>
    <w:lvl w:ilvl="4" w:tplc="E976D238" w:tentative="1">
      <w:start w:val="1"/>
      <w:numFmt w:val="bullet"/>
      <w:lvlText w:val="•"/>
      <w:lvlJc w:val="left"/>
      <w:pPr>
        <w:tabs>
          <w:tab w:val="num" w:pos="3600"/>
        </w:tabs>
        <w:ind w:left="3600" w:hanging="360"/>
      </w:pPr>
      <w:rPr>
        <w:rFonts w:ascii="Arial" w:hAnsi="Arial" w:hint="default"/>
      </w:rPr>
    </w:lvl>
    <w:lvl w:ilvl="5" w:tplc="2D82379A" w:tentative="1">
      <w:start w:val="1"/>
      <w:numFmt w:val="bullet"/>
      <w:lvlText w:val="•"/>
      <w:lvlJc w:val="left"/>
      <w:pPr>
        <w:tabs>
          <w:tab w:val="num" w:pos="4320"/>
        </w:tabs>
        <w:ind w:left="4320" w:hanging="360"/>
      </w:pPr>
      <w:rPr>
        <w:rFonts w:ascii="Arial" w:hAnsi="Arial" w:hint="default"/>
      </w:rPr>
    </w:lvl>
    <w:lvl w:ilvl="6" w:tplc="7204664E" w:tentative="1">
      <w:start w:val="1"/>
      <w:numFmt w:val="bullet"/>
      <w:lvlText w:val="•"/>
      <w:lvlJc w:val="left"/>
      <w:pPr>
        <w:tabs>
          <w:tab w:val="num" w:pos="5040"/>
        </w:tabs>
        <w:ind w:left="5040" w:hanging="360"/>
      </w:pPr>
      <w:rPr>
        <w:rFonts w:ascii="Arial" w:hAnsi="Arial" w:hint="default"/>
      </w:rPr>
    </w:lvl>
    <w:lvl w:ilvl="7" w:tplc="433A9B52" w:tentative="1">
      <w:start w:val="1"/>
      <w:numFmt w:val="bullet"/>
      <w:lvlText w:val="•"/>
      <w:lvlJc w:val="left"/>
      <w:pPr>
        <w:tabs>
          <w:tab w:val="num" w:pos="5760"/>
        </w:tabs>
        <w:ind w:left="5760" w:hanging="360"/>
      </w:pPr>
      <w:rPr>
        <w:rFonts w:ascii="Arial" w:hAnsi="Arial" w:hint="default"/>
      </w:rPr>
    </w:lvl>
    <w:lvl w:ilvl="8" w:tplc="10749F88" w:tentative="1">
      <w:start w:val="1"/>
      <w:numFmt w:val="bullet"/>
      <w:lvlText w:val="•"/>
      <w:lvlJc w:val="left"/>
      <w:pPr>
        <w:tabs>
          <w:tab w:val="num" w:pos="6480"/>
        </w:tabs>
        <w:ind w:left="6480" w:hanging="360"/>
      </w:pPr>
      <w:rPr>
        <w:rFonts w:ascii="Arial" w:hAnsi="Arial" w:hint="default"/>
      </w:rPr>
    </w:lvl>
  </w:abstractNum>
  <w:abstractNum w:abstractNumId="18">
    <w:nsid w:val="4C923016"/>
    <w:multiLevelType w:val="hybridMultilevel"/>
    <w:tmpl w:val="95AC87D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E8170E3"/>
    <w:multiLevelType w:val="hybridMultilevel"/>
    <w:tmpl w:val="18BAF9D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A63627C"/>
    <w:multiLevelType w:val="hybridMultilevel"/>
    <w:tmpl w:val="DE8071BC"/>
    <w:lvl w:ilvl="0" w:tplc="B0B48B4A">
      <w:start w:val="1"/>
      <w:numFmt w:val="bullet"/>
      <w:lvlText w:val="•"/>
      <w:lvlJc w:val="left"/>
      <w:pPr>
        <w:tabs>
          <w:tab w:val="num" w:pos="720"/>
        </w:tabs>
        <w:ind w:left="720" w:hanging="360"/>
      </w:pPr>
      <w:rPr>
        <w:rFonts w:ascii="Arial" w:hAnsi="Arial" w:hint="default"/>
      </w:rPr>
    </w:lvl>
    <w:lvl w:ilvl="1" w:tplc="F9783ADA" w:tentative="1">
      <w:start w:val="1"/>
      <w:numFmt w:val="bullet"/>
      <w:lvlText w:val="•"/>
      <w:lvlJc w:val="left"/>
      <w:pPr>
        <w:tabs>
          <w:tab w:val="num" w:pos="1440"/>
        </w:tabs>
        <w:ind w:left="1440" w:hanging="360"/>
      </w:pPr>
      <w:rPr>
        <w:rFonts w:ascii="Arial" w:hAnsi="Arial" w:hint="default"/>
      </w:rPr>
    </w:lvl>
    <w:lvl w:ilvl="2" w:tplc="092E9712" w:tentative="1">
      <w:start w:val="1"/>
      <w:numFmt w:val="bullet"/>
      <w:lvlText w:val="•"/>
      <w:lvlJc w:val="left"/>
      <w:pPr>
        <w:tabs>
          <w:tab w:val="num" w:pos="2160"/>
        </w:tabs>
        <w:ind w:left="2160" w:hanging="360"/>
      </w:pPr>
      <w:rPr>
        <w:rFonts w:ascii="Arial" w:hAnsi="Arial" w:hint="default"/>
      </w:rPr>
    </w:lvl>
    <w:lvl w:ilvl="3" w:tplc="2BBC227C" w:tentative="1">
      <w:start w:val="1"/>
      <w:numFmt w:val="bullet"/>
      <w:lvlText w:val="•"/>
      <w:lvlJc w:val="left"/>
      <w:pPr>
        <w:tabs>
          <w:tab w:val="num" w:pos="2880"/>
        </w:tabs>
        <w:ind w:left="2880" w:hanging="360"/>
      </w:pPr>
      <w:rPr>
        <w:rFonts w:ascii="Arial" w:hAnsi="Arial" w:hint="default"/>
      </w:rPr>
    </w:lvl>
    <w:lvl w:ilvl="4" w:tplc="6E8ED34C" w:tentative="1">
      <w:start w:val="1"/>
      <w:numFmt w:val="bullet"/>
      <w:lvlText w:val="•"/>
      <w:lvlJc w:val="left"/>
      <w:pPr>
        <w:tabs>
          <w:tab w:val="num" w:pos="3600"/>
        </w:tabs>
        <w:ind w:left="3600" w:hanging="360"/>
      </w:pPr>
      <w:rPr>
        <w:rFonts w:ascii="Arial" w:hAnsi="Arial" w:hint="default"/>
      </w:rPr>
    </w:lvl>
    <w:lvl w:ilvl="5" w:tplc="8E3284E2" w:tentative="1">
      <w:start w:val="1"/>
      <w:numFmt w:val="bullet"/>
      <w:lvlText w:val="•"/>
      <w:lvlJc w:val="left"/>
      <w:pPr>
        <w:tabs>
          <w:tab w:val="num" w:pos="4320"/>
        </w:tabs>
        <w:ind w:left="4320" w:hanging="360"/>
      </w:pPr>
      <w:rPr>
        <w:rFonts w:ascii="Arial" w:hAnsi="Arial" w:hint="default"/>
      </w:rPr>
    </w:lvl>
    <w:lvl w:ilvl="6" w:tplc="37F8964C" w:tentative="1">
      <w:start w:val="1"/>
      <w:numFmt w:val="bullet"/>
      <w:lvlText w:val="•"/>
      <w:lvlJc w:val="left"/>
      <w:pPr>
        <w:tabs>
          <w:tab w:val="num" w:pos="5040"/>
        </w:tabs>
        <w:ind w:left="5040" w:hanging="360"/>
      </w:pPr>
      <w:rPr>
        <w:rFonts w:ascii="Arial" w:hAnsi="Arial" w:hint="default"/>
      </w:rPr>
    </w:lvl>
    <w:lvl w:ilvl="7" w:tplc="681A1EFC" w:tentative="1">
      <w:start w:val="1"/>
      <w:numFmt w:val="bullet"/>
      <w:lvlText w:val="•"/>
      <w:lvlJc w:val="left"/>
      <w:pPr>
        <w:tabs>
          <w:tab w:val="num" w:pos="5760"/>
        </w:tabs>
        <w:ind w:left="5760" w:hanging="360"/>
      </w:pPr>
      <w:rPr>
        <w:rFonts w:ascii="Arial" w:hAnsi="Arial" w:hint="default"/>
      </w:rPr>
    </w:lvl>
    <w:lvl w:ilvl="8" w:tplc="2EF82F98" w:tentative="1">
      <w:start w:val="1"/>
      <w:numFmt w:val="bullet"/>
      <w:lvlText w:val="•"/>
      <w:lvlJc w:val="left"/>
      <w:pPr>
        <w:tabs>
          <w:tab w:val="num" w:pos="6480"/>
        </w:tabs>
        <w:ind w:left="6480" w:hanging="360"/>
      </w:pPr>
      <w:rPr>
        <w:rFonts w:ascii="Arial" w:hAnsi="Arial" w:hint="default"/>
      </w:rPr>
    </w:lvl>
  </w:abstractNum>
  <w:abstractNum w:abstractNumId="21">
    <w:nsid w:val="5AAF4150"/>
    <w:multiLevelType w:val="multilevel"/>
    <w:tmpl w:val="B20E77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5AC62FE2"/>
    <w:multiLevelType w:val="hybridMultilevel"/>
    <w:tmpl w:val="90FCAF2C"/>
    <w:lvl w:ilvl="0" w:tplc="FD2C2DE2">
      <w:start w:val="3"/>
      <w:numFmt w:val="decimal"/>
      <w:lvlText w:val="%1."/>
      <w:lvlJc w:val="left"/>
      <w:pPr>
        <w:ind w:left="3240" w:hanging="360"/>
      </w:pPr>
      <w:rPr>
        <w:rFonts w:hint="default"/>
        <w:color w:val="000000" w:themeColor="text1"/>
      </w:rPr>
    </w:lvl>
    <w:lvl w:ilvl="1" w:tplc="080A0019" w:tentative="1">
      <w:start w:val="1"/>
      <w:numFmt w:val="lowerLetter"/>
      <w:lvlText w:val="%2."/>
      <w:lvlJc w:val="left"/>
      <w:pPr>
        <w:ind w:left="3960" w:hanging="360"/>
      </w:pPr>
    </w:lvl>
    <w:lvl w:ilvl="2" w:tplc="080A001B" w:tentative="1">
      <w:start w:val="1"/>
      <w:numFmt w:val="lowerRoman"/>
      <w:lvlText w:val="%3."/>
      <w:lvlJc w:val="right"/>
      <w:pPr>
        <w:ind w:left="4680" w:hanging="180"/>
      </w:pPr>
    </w:lvl>
    <w:lvl w:ilvl="3" w:tplc="080A000F" w:tentative="1">
      <w:start w:val="1"/>
      <w:numFmt w:val="decimal"/>
      <w:lvlText w:val="%4."/>
      <w:lvlJc w:val="left"/>
      <w:pPr>
        <w:ind w:left="5400" w:hanging="360"/>
      </w:pPr>
    </w:lvl>
    <w:lvl w:ilvl="4" w:tplc="080A0019" w:tentative="1">
      <w:start w:val="1"/>
      <w:numFmt w:val="lowerLetter"/>
      <w:lvlText w:val="%5."/>
      <w:lvlJc w:val="left"/>
      <w:pPr>
        <w:ind w:left="6120" w:hanging="360"/>
      </w:pPr>
    </w:lvl>
    <w:lvl w:ilvl="5" w:tplc="080A001B" w:tentative="1">
      <w:start w:val="1"/>
      <w:numFmt w:val="lowerRoman"/>
      <w:lvlText w:val="%6."/>
      <w:lvlJc w:val="right"/>
      <w:pPr>
        <w:ind w:left="6840" w:hanging="180"/>
      </w:pPr>
    </w:lvl>
    <w:lvl w:ilvl="6" w:tplc="080A000F" w:tentative="1">
      <w:start w:val="1"/>
      <w:numFmt w:val="decimal"/>
      <w:lvlText w:val="%7."/>
      <w:lvlJc w:val="left"/>
      <w:pPr>
        <w:ind w:left="7560" w:hanging="360"/>
      </w:pPr>
    </w:lvl>
    <w:lvl w:ilvl="7" w:tplc="080A0019" w:tentative="1">
      <w:start w:val="1"/>
      <w:numFmt w:val="lowerLetter"/>
      <w:lvlText w:val="%8."/>
      <w:lvlJc w:val="left"/>
      <w:pPr>
        <w:ind w:left="8280" w:hanging="360"/>
      </w:pPr>
    </w:lvl>
    <w:lvl w:ilvl="8" w:tplc="080A001B" w:tentative="1">
      <w:start w:val="1"/>
      <w:numFmt w:val="lowerRoman"/>
      <w:lvlText w:val="%9."/>
      <w:lvlJc w:val="right"/>
      <w:pPr>
        <w:ind w:left="9000" w:hanging="180"/>
      </w:pPr>
    </w:lvl>
  </w:abstractNum>
  <w:abstractNum w:abstractNumId="23">
    <w:nsid w:val="5C236D69"/>
    <w:multiLevelType w:val="hybridMultilevel"/>
    <w:tmpl w:val="3FDE8A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62EB1AB6"/>
    <w:multiLevelType w:val="hybridMultilevel"/>
    <w:tmpl w:val="F660583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46837F3"/>
    <w:multiLevelType w:val="hybridMultilevel"/>
    <w:tmpl w:val="6D82A3A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58C6828"/>
    <w:multiLevelType w:val="hybridMultilevel"/>
    <w:tmpl w:val="148C9852"/>
    <w:lvl w:ilvl="0" w:tplc="FAF2C8A4">
      <w:start w:val="1"/>
      <w:numFmt w:val="bullet"/>
      <w:lvlText w:val=""/>
      <w:lvlJc w:val="left"/>
      <w:pPr>
        <w:tabs>
          <w:tab w:val="num" w:pos="720"/>
        </w:tabs>
        <w:ind w:left="720" w:hanging="360"/>
      </w:pPr>
      <w:rPr>
        <w:rFonts w:ascii="Wingdings" w:hAnsi="Wingdings" w:hint="default"/>
      </w:rPr>
    </w:lvl>
    <w:lvl w:ilvl="1" w:tplc="C56AE540" w:tentative="1">
      <w:start w:val="1"/>
      <w:numFmt w:val="bullet"/>
      <w:lvlText w:val=""/>
      <w:lvlJc w:val="left"/>
      <w:pPr>
        <w:tabs>
          <w:tab w:val="num" w:pos="1440"/>
        </w:tabs>
        <w:ind w:left="1440" w:hanging="360"/>
      </w:pPr>
      <w:rPr>
        <w:rFonts w:ascii="Wingdings" w:hAnsi="Wingdings" w:hint="default"/>
      </w:rPr>
    </w:lvl>
    <w:lvl w:ilvl="2" w:tplc="4F284188" w:tentative="1">
      <w:start w:val="1"/>
      <w:numFmt w:val="bullet"/>
      <w:lvlText w:val=""/>
      <w:lvlJc w:val="left"/>
      <w:pPr>
        <w:tabs>
          <w:tab w:val="num" w:pos="2160"/>
        </w:tabs>
        <w:ind w:left="2160" w:hanging="360"/>
      </w:pPr>
      <w:rPr>
        <w:rFonts w:ascii="Wingdings" w:hAnsi="Wingdings" w:hint="default"/>
      </w:rPr>
    </w:lvl>
    <w:lvl w:ilvl="3" w:tplc="50FC6540" w:tentative="1">
      <w:start w:val="1"/>
      <w:numFmt w:val="bullet"/>
      <w:lvlText w:val=""/>
      <w:lvlJc w:val="left"/>
      <w:pPr>
        <w:tabs>
          <w:tab w:val="num" w:pos="2880"/>
        </w:tabs>
        <w:ind w:left="2880" w:hanging="360"/>
      </w:pPr>
      <w:rPr>
        <w:rFonts w:ascii="Wingdings" w:hAnsi="Wingdings" w:hint="default"/>
      </w:rPr>
    </w:lvl>
    <w:lvl w:ilvl="4" w:tplc="D86E8D20" w:tentative="1">
      <w:start w:val="1"/>
      <w:numFmt w:val="bullet"/>
      <w:lvlText w:val=""/>
      <w:lvlJc w:val="left"/>
      <w:pPr>
        <w:tabs>
          <w:tab w:val="num" w:pos="3600"/>
        </w:tabs>
        <w:ind w:left="3600" w:hanging="360"/>
      </w:pPr>
      <w:rPr>
        <w:rFonts w:ascii="Wingdings" w:hAnsi="Wingdings" w:hint="default"/>
      </w:rPr>
    </w:lvl>
    <w:lvl w:ilvl="5" w:tplc="9D2C4C4C" w:tentative="1">
      <w:start w:val="1"/>
      <w:numFmt w:val="bullet"/>
      <w:lvlText w:val=""/>
      <w:lvlJc w:val="left"/>
      <w:pPr>
        <w:tabs>
          <w:tab w:val="num" w:pos="4320"/>
        </w:tabs>
        <w:ind w:left="4320" w:hanging="360"/>
      </w:pPr>
      <w:rPr>
        <w:rFonts w:ascii="Wingdings" w:hAnsi="Wingdings" w:hint="default"/>
      </w:rPr>
    </w:lvl>
    <w:lvl w:ilvl="6" w:tplc="7F4AA798" w:tentative="1">
      <w:start w:val="1"/>
      <w:numFmt w:val="bullet"/>
      <w:lvlText w:val=""/>
      <w:lvlJc w:val="left"/>
      <w:pPr>
        <w:tabs>
          <w:tab w:val="num" w:pos="5040"/>
        </w:tabs>
        <w:ind w:left="5040" w:hanging="360"/>
      </w:pPr>
      <w:rPr>
        <w:rFonts w:ascii="Wingdings" w:hAnsi="Wingdings" w:hint="default"/>
      </w:rPr>
    </w:lvl>
    <w:lvl w:ilvl="7" w:tplc="F0462F10" w:tentative="1">
      <w:start w:val="1"/>
      <w:numFmt w:val="bullet"/>
      <w:lvlText w:val=""/>
      <w:lvlJc w:val="left"/>
      <w:pPr>
        <w:tabs>
          <w:tab w:val="num" w:pos="5760"/>
        </w:tabs>
        <w:ind w:left="5760" w:hanging="360"/>
      </w:pPr>
      <w:rPr>
        <w:rFonts w:ascii="Wingdings" w:hAnsi="Wingdings" w:hint="default"/>
      </w:rPr>
    </w:lvl>
    <w:lvl w:ilvl="8" w:tplc="C1D82F54" w:tentative="1">
      <w:start w:val="1"/>
      <w:numFmt w:val="bullet"/>
      <w:lvlText w:val=""/>
      <w:lvlJc w:val="left"/>
      <w:pPr>
        <w:tabs>
          <w:tab w:val="num" w:pos="6480"/>
        </w:tabs>
        <w:ind w:left="6480" w:hanging="360"/>
      </w:pPr>
      <w:rPr>
        <w:rFonts w:ascii="Wingdings" w:hAnsi="Wingdings" w:hint="default"/>
      </w:rPr>
    </w:lvl>
  </w:abstractNum>
  <w:abstractNum w:abstractNumId="27">
    <w:nsid w:val="69244BD3"/>
    <w:multiLevelType w:val="hybridMultilevel"/>
    <w:tmpl w:val="65F253CC"/>
    <w:lvl w:ilvl="0" w:tplc="342001E2">
      <w:start w:val="1"/>
      <w:numFmt w:val="bullet"/>
      <w:lvlText w:val=""/>
      <w:lvlJc w:val="left"/>
      <w:pPr>
        <w:tabs>
          <w:tab w:val="num" w:pos="720"/>
        </w:tabs>
        <w:ind w:left="720" w:hanging="360"/>
      </w:pPr>
      <w:rPr>
        <w:rFonts w:ascii="Wingdings" w:hAnsi="Wingdings" w:hint="default"/>
      </w:rPr>
    </w:lvl>
    <w:lvl w:ilvl="1" w:tplc="9F365136" w:tentative="1">
      <w:start w:val="1"/>
      <w:numFmt w:val="bullet"/>
      <w:lvlText w:val=""/>
      <w:lvlJc w:val="left"/>
      <w:pPr>
        <w:tabs>
          <w:tab w:val="num" w:pos="1440"/>
        </w:tabs>
        <w:ind w:left="1440" w:hanging="360"/>
      </w:pPr>
      <w:rPr>
        <w:rFonts w:ascii="Wingdings" w:hAnsi="Wingdings" w:hint="default"/>
      </w:rPr>
    </w:lvl>
    <w:lvl w:ilvl="2" w:tplc="12FED68C" w:tentative="1">
      <w:start w:val="1"/>
      <w:numFmt w:val="bullet"/>
      <w:lvlText w:val=""/>
      <w:lvlJc w:val="left"/>
      <w:pPr>
        <w:tabs>
          <w:tab w:val="num" w:pos="2160"/>
        </w:tabs>
        <w:ind w:left="2160" w:hanging="360"/>
      </w:pPr>
      <w:rPr>
        <w:rFonts w:ascii="Wingdings" w:hAnsi="Wingdings" w:hint="default"/>
      </w:rPr>
    </w:lvl>
    <w:lvl w:ilvl="3" w:tplc="5E6A9A3A" w:tentative="1">
      <w:start w:val="1"/>
      <w:numFmt w:val="bullet"/>
      <w:lvlText w:val=""/>
      <w:lvlJc w:val="left"/>
      <w:pPr>
        <w:tabs>
          <w:tab w:val="num" w:pos="2880"/>
        </w:tabs>
        <w:ind w:left="2880" w:hanging="360"/>
      </w:pPr>
      <w:rPr>
        <w:rFonts w:ascii="Wingdings" w:hAnsi="Wingdings" w:hint="default"/>
      </w:rPr>
    </w:lvl>
    <w:lvl w:ilvl="4" w:tplc="394A4B22" w:tentative="1">
      <w:start w:val="1"/>
      <w:numFmt w:val="bullet"/>
      <w:lvlText w:val=""/>
      <w:lvlJc w:val="left"/>
      <w:pPr>
        <w:tabs>
          <w:tab w:val="num" w:pos="3600"/>
        </w:tabs>
        <w:ind w:left="3600" w:hanging="360"/>
      </w:pPr>
      <w:rPr>
        <w:rFonts w:ascii="Wingdings" w:hAnsi="Wingdings" w:hint="default"/>
      </w:rPr>
    </w:lvl>
    <w:lvl w:ilvl="5" w:tplc="D42C474A" w:tentative="1">
      <w:start w:val="1"/>
      <w:numFmt w:val="bullet"/>
      <w:lvlText w:val=""/>
      <w:lvlJc w:val="left"/>
      <w:pPr>
        <w:tabs>
          <w:tab w:val="num" w:pos="4320"/>
        </w:tabs>
        <w:ind w:left="4320" w:hanging="360"/>
      </w:pPr>
      <w:rPr>
        <w:rFonts w:ascii="Wingdings" w:hAnsi="Wingdings" w:hint="default"/>
      </w:rPr>
    </w:lvl>
    <w:lvl w:ilvl="6" w:tplc="5C64C05A" w:tentative="1">
      <w:start w:val="1"/>
      <w:numFmt w:val="bullet"/>
      <w:lvlText w:val=""/>
      <w:lvlJc w:val="left"/>
      <w:pPr>
        <w:tabs>
          <w:tab w:val="num" w:pos="5040"/>
        </w:tabs>
        <w:ind w:left="5040" w:hanging="360"/>
      </w:pPr>
      <w:rPr>
        <w:rFonts w:ascii="Wingdings" w:hAnsi="Wingdings" w:hint="default"/>
      </w:rPr>
    </w:lvl>
    <w:lvl w:ilvl="7" w:tplc="DEF03F56" w:tentative="1">
      <w:start w:val="1"/>
      <w:numFmt w:val="bullet"/>
      <w:lvlText w:val=""/>
      <w:lvlJc w:val="left"/>
      <w:pPr>
        <w:tabs>
          <w:tab w:val="num" w:pos="5760"/>
        </w:tabs>
        <w:ind w:left="5760" w:hanging="360"/>
      </w:pPr>
      <w:rPr>
        <w:rFonts w:ascii="Wingdings" w:hAnsi="Wingdings" w:hint="default"/>
      </w:rPr>
    </w:lvl>
    <w:lvl w:ilvl="8" w:tplc="4F34D91C" w:tentative="1">
      <w:start w:val="1"/>
      <w:numFmt w:val="bullet"/>
      <w:lvlText w:val=""/>
      <w:lvlJc w:val="left"/>
      <w:pPr>
        <w:tabs>
          <w:tab w:val="num" w:pos="6480"/>
        </w:tabs>
        <w:ind w:left="6480" w:hanging="360"/>
      </w:pPr>
      <w:rPr>
        <w:rFonts w:ascii="Wingdings" w:hAnsi="Wingdings" w:hint="default"/>
      </w:rPr>
    </w:lvl>
  </w:abstractNum>
  <w:abstractNum w:abstractNumId="28">
    <w:nsid w:val="71EC2C29"/>
    <w:multiLevelType w:val="hybridMultilevel"/>
    <w:tmpl w:val="CE68EDB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77D73A77"/>
    <w:multiLevelType w:val="hybridMultilevel"/>
    <w:tmpl w:val="372E3C52"/>
    <w:lvl w:ilvl="0" w:tplc="E918CCD2">
      <w:start w:val="5"/>
      <w:numFmt w:val="decimal"/>
      <w:lvlText w:val="%1."/>
      <w:lvlJc w:val="left"/>
      <w:pPr>
        <w:ind w:left="3240" w:hanging="360"/>
      </w:pPr>
      <w:rPr>
        <w:rFonts w:hint="default"/>
      </w:rPr>
    </w:lvl>
    <w:lvl w:ilvl="1" w:tplc="080A0019" w:tentative="1">
      <w:start w:val="1"/>
      <w:numFmt w:val="lowerLetter"/>
      <w:lvlText w:val="%2."/>
      <w:lvlJc w:val="left"/>
      <w:pPr>
        <w:ind w:left="3960" w:hanging="360"/>
      </w:pPr>
    </w:lvl>
    <w:lvl w:ilvl="2" w:tplc="080A001B" w:tentative="1">
      <w:start w:val="1"/>
      <w:numFmt w:val="lowerRoman"/>
      <w:lvlText w:val="%3."/>
      <w:lvlJc w:val="right"/>
      <w:pPr>
        <w:ind w:left="4680" w:hanging="180"/>
      </w:pPr>
    </w:lvl>
    <w:lvl w:ilvl="3" w:tplc="080A000F" w:tentative="1">
      <w:start w:val="1"/>
      <w:numFmt w:val="decimal"/>
      <w:lvlText w:val="%4."/>
      <w:lvlJc w:val="left"/>
      <w:pPr>
        <w:ind w:left="5400" w:hanging="360"/>
      </w:pPr>
    </w:lvl>
    <w:lvl w:ilvl="4" w:tplc="080A0019" w:tentative="1">
      <w:start w:val="1"/>
      <w:numFmt w:val="lowerLetter"/>
      <w:lvlText w:val="%5."/>
      <w:lvlJc w:val="left"/>
      <w:pPr>
        <w:ind w:left="6120" w:hanging="360"/>
      </w:pPr>
    </w:lvl>
    <w:lvl w:ilvl="5" w:tplc="080A001B" w:tentative="1">
      <w:start w:val="1"/>
      <w:numFmt w:val="lowerRoman"/>
      <w:lvlText w:val="%6."/>
      <w:lvlJc w:val="right"/>
      <w:pPr>
        <w:ind w:left="6840" w:hanging="180"/>
      </w:pPr>
    </w:lvl>
    <w:lvl w:ilvl="6" w:tplc="080A000F" w:tentative="1">
      <w:start w:val="1"/>
      <w:numFmt w:val="decimal"/>
      <w:lvlText w:val="%7."/>
      <w:lvlJc w:val="left"/>
      <w:pPr>
        <w:ind w:left="7560" w:hanging="360"/>
      </w:pPr>
    </w:lvl>
    <w:lvl w:ilvl="7" w:tplc="080A0019" w:tentative="1">
      <w:start w:val="1"/>
      <w:numFmt w:val="lowerLetter"/>
      <w:lvlText w:val="%8."/>
      <w:lvlJc w:val="left"/>
      <w:pPr>
        <w:ind w:left="8280" w:hanging="360"/>
      </w:pPr>
    </w:lvl>
    <w:lvl w:ilvl="8" w:tplc="080A001B" w:tentative="1">
      <w:start w:val="1"/>
      <w:numFmt w:val="lowerRoman"/>
      <w:lvlText w:val="%9."/>
      <w:lvlJc w:val="right"/>
      <w:pPr>
        <w:ind w:left="9000" w:hanging="180"/>
      </w:pPr>
    </w:lvl>
  </w:abstractNum>
  <w:num w:numId="1">
    <w:abstractNumId w:val="21"/>
  </w:num>
  <w:num w:numId="2">
    <w:abstractNumId w:val="12"/>
  </w:num>
  <w:num w:numId="3">
    <w:abstractNumId w:val="8"/>
  </w:num>
  <w:num w:numId="4">
    <w:abstractNumId w:val="7"/>
  </w:num>
  <w:num w:numId="5">
    <w:abstractNumId w:val="17"/>
  </w:num>
  <w:num w:numId="6">
    <w:abstractNumId w:val="15"/>
  </w:num>
  <w:num w:numId="7">
    <w:abstractNumId w:val="20"/>
  </w:num>
  <w:num w:numId="8">
    <w:abstractNumId w:val="26"/>
  </w:num>
  <w:num w:numId="9">
    <w:abstractNumId w:val="18"/>
  </w:num>
  <w:num w:numId="10">
    <w:abstractNumId w:val="27"/>
  </w:num>
  <w:num w:numId="11">
    <w:abstractNumId w:val="2"/>
  </w:num>
  <w:num w:numId="12">
    <w:abstractNumId w:val="1"/>
  </w:num>
  <w:num w:numId="13">
    <w:abstractNumId w:val="24"/>
  </w:num>
  <w:num w:numId="14">
    <w:abstractNumId w:val="25"/>
  </w:num>
  <w:num w:numId="15">
    <w:abstractNumId w:val="28"/>
  </w:num>
  <w:num w:numId="16">
    <w:abstractNumId w:val="19"/>
  </w:num>
  <w:num w:numId="17">
    <w:abstractNumId w:val="6"/>
  </w:num>
  <w:num w:numId="18">
    <w:abstractNumId w:val="10"/>
  </w:num>
  <w:num w:numId="19">
    <w:abstractNumId w:val="23"/>
  </w:num>
  <w:num w:numId="20">
    <w:abstractNumId w:val="4"/>
  </w:num>
  <w:num w:numId="21">
    <w:abstractNumId w:val="16"/>
  </w:num>
  <w:num w:numId="22">
    <w:abstractNumId w:val="9"/>
  </w:num>
  <w:num w:numId="23">
    <w:abstractNumId w:val="5"/>
  </w:num>
  <w:num w:numId="24">
    <w:abstractNumId w:val="29"/>
  </w:num>
  <w:num w:numId="25">
    <w:abstractNumId w:val="0"/>
  </w:num>
  <w:num w:numId="26">
    <w:abstractNumId w:val="13"/>
  </w:num>
  <w:num w:numId="27">
    <w:abstractNumId w:val="22"/>
  </w:num>
  <w:num w:numId="28">
    <w:abstractNumId w:val="11"/>
  </w:num>
  <w:num w:numId="29">
    <w:abstractNumId w:val="3"/>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085"/>
    <w:rsid w:val="00006D4C"/>
    <w:rsid w:val="000D1F84"/>
    <w:rsid w:val="0010013C"/>
    <w:rsid w:val="00117078"/>
    <w:rsid w:val="001315B5"/>
    <w:rsid w:val="001A3798"/>
    <w:rsid w:val="002504DC"/>
    <w:rsid w:val="00254572"/>
    <w:rsid w:val="00265EBA"/>
    <w:rsid w:val="00266029"/>
    <w:rsid w:val="002D2A0B"/>
    <w:rsid w:val="00334EB9"/>
    <w:rsid w:val="00346F6C"/>
    <w:rsid w:val="00401301"/>
    <w:rsid w:val="00406DE8"/>
    <w:rsid w:val="0042204B"/>
    <w:rsid w:val="004501F2"/>
    <w:rsid w:val="004F4A9F"/>
    <w:rsid w:val="00506844"/>
    <w:rsid w:val="00506F58"/>
    <w:rsid w:val="006245C5"/>
    <w:rsid w:val="00627350"/>
    <w:rsid w:val="0067713E"/>
    <w:rsid w:val="006B06BB"/>
    <w:rsid w:val="006B23F3"/>
    <w:rsid w:val="006C4BF4"/>
    <w:rsid w:val="006D6FC4"/>
    <w:rsid w:val="00710E0B"/>
    <w:rsid w:val="00732EA1"/>
    <w:rsid w:val="007E7F24"/>
    <w:rsid w:val="007F2117"/>
    <w:rsid w:val="007F3EF6"/>
    <w:rsid w:val="008016A3"/>
    <w:rsid w:val="00814AB2"/>
    <w:rsid w:val="0081722E"/>
    <w:rsid w:val="008709BA"/>
    <w:rsid w:val="008A05D4"/>
    <w:rsid w:val="008A3C0B"/>
    <w:rsid w:val="008D4590"/>
    <w:rsid w:val="009218CF"/>
    <w:rsid w:val="00984EEB"/>
    <w:rsid w:val="009909D2"/>
    <w:rsid w:val="009921CD"/>
    <w:rsid w:val="009A5432"/>
    <w:rsid w:val="00A14F60"/>
    <w:rsid w:val="00A175D4"/>
    <w:rsid w:val="00A44E1B"/>
    <w:rsid w:val="00A659C3"/>
    <w:rsid w:val="00AA7016"/>
    <w:rsid w:val="00AB7C09"/>
    <w:rsid w:val="00AC1696"/>
    <w:rsid w:val="00AD03AF"/>
    <w:rsid w:val="00B07D3B"/>
    <w:rsid w:val="00B43DA9"/>
    <w:rsid w:val="00B62490"/>
    <w:rsid w:val="00BC6F58"/>
    <w:rsid w:val="00C06E41"/>
    <w:rsid w:val="00C24900"/>
    <w:rsid w:val="00C26ADD"/>
    <w:rsid w:val="00C402B7"/>
    <w:rsid w:val="00C4783A"/>
    <w:rsid w:val="00C703D7"/>
    <w:rsid w:val="00C81C5B"/>
    <w:rsid w:val="00C93047"/>
    <w:rsid w:val="00CA7085"/>
    <w:rsid w:val="00D71099"/>
    <w:rsid w:val="00DB734D"/>
    <w:rsid w:val="00DB7CD8"/>
    <w:rsid w:val="00EF7F15"/>
    <w:rsid w:val="00F4688B"/>
    <w:rsid w:val="00F86C58"/>
    <w:rsid w:val="00FF0F34"/>
  </w:rsids>
  <m:mathPr>
    <m:mathFont m:val="Cambria Math"/>
    <m:brkBin m:val="before"/>
    <m:brkBinSub m:val="--"/>
    <m:smallFrac m:val="0"/>
    <m:dispDef/>
    <m:lMargin m:val="0"/>
    <m:rMargin m:val="0"/>
    <m:defJc m:val="centerGroup"/>
    <m:wrapIndent m:val="1440"/>
    <m:intLim m:val="subSup"/>
    <m:naryLim m:val="undOvr"/>
  </m:mathPr>
  <w:themeFontLang w:val="es-CO"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447B"/>
    <w:rPr>
      <w:rFonts w:ascii="Tahoma" w:hAnsi="Tahoma"/>
      <w:sz w:val="24"/>
      <w:lang w:eastAsia="es-ES"/>
    </w:rPr>
  </w:style>
  <w:style w:type="paragraph" w:styleId="Ttulo1">
    <w:name w:val="heading 1"/>
    <w:basedOn w:val="Normal"/>
    <w:next w:val="Normal"/>
    <w:qFormat/>
    <w:rsid w:val="001B447B"/>
    <w:pPr>
      <w:keepNext/>
      <w:outlineLvl w:val="0"/>
    </w:pPr>
    <w:rPr>
      <w:b/>
      <w:bCs/>
    </w:rPr>
  </w:style>
  <w:style w:type="paragraph" w:styleId="Ttulo2">
    <w:name w:val="heading 2"/>
    <w:basedOn w:val="Normal"/>
    <w:next w:val="Normal"/>
    <w:qFormat/>
    <w:rsid w:val="001B447B"/>
    <w:pPr>
      <w:keepNext/>
      <w:jc w:val="center"/>
      <w:outlineLvl w:val="1"/>
    </w:pPr>
    <w:rPr>
      <w:rFonts w:ascii="Arial" w:hAnsi="Arial" w:cs="Arial"/>
      <w:b/>
      <w:bCs/>
      <w:sz w:val="20"/>
    </w:rPr>
  </w:style>
  <w:style w:type="paragraph" w:styleId="Ttulo3">
    <w:name w:val="heading 3"/>
    <w:basedOn w:val="Normal"/>
    <w:next w:val="Normal"/>
    <w:qFormat/>
    <w:rsid w:val="001B447B"/>
    <w:pPr>
      <w:keepNext/>
      <w:outlineLvl w:val="2"/>
    </w:pPr>
    <w:rPr>
      <w:rFonts w:ascii="Arial" w:hAnsi="Arial" w:cs="Arial"/>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pgina">
    <w:name w:val="page number"/>
    <w:basedOn w:val="Fuentedeprrafopredeter"/>
    <w:semiHidden/>
    <w:qFormat/>
    <w:rsid w:val="001B447B"/>
  </w:style>
  <w:style w:type="character" w:customStyle="1" w:styleId="EncabezadoCar">
    <w:name w:val="Encabezado Car"/>
    <w:basedOn w:val="Fuentedeprrafopredeter"/>
    <w:link w:val="Encabezado"/>
    <w:qFormat/>
    <w:rsid w:val="00191BD2"/>
    <w:rPr>
      <w:rFonts w:ascii="Tahoma" w:hAnsi="Tahoma"/>
      <w:sz w:val="24"/>
      <w:lang w:eastAsia="es-ES"/>
    </w:rPr>
  </w:style>
  <w:style w:type="character" w:customStyle="1" w:styleId="apple-converted-space">
    <w:name w:val="apple-converted-space"/>
    <w:basedOn w:val="Fuentedeprrafopredeter"/>
    <w:qFormat/>
    <w:rsid w:val="00BD0ED7"/>
  </w:style>
  <w:style w:type="character" w:customStyle="1" w:styleId="EnlacedeInternet">
    <w:name w:val="Enlace de Internet"/>
    <w:basedOn w:val="Fuentedeprrafopredeter"/>
    <w:uiPriority w:val="99"/>
    <w:unhideWhenUsed/>
    <w:rsid w:val="00825317"/>
    <w:rPr>
      <w:color w:val="0000FF" w:themeColor="hyperlink"/>
      <w:u w:val="single"/>
    </w:rPr>
  </w:style>
  <w:style w:type="character" w:customStyle="1" w:styleId="Mencinsinresolver1">
    <w:name w:val="Mención sin resolver1"/>
    <w:basedOn w:val="Fuentedeprrafopredeter"/>
    <w:uiPriority w:val="99"/>
    <w:semiHidden/>
    <w:unhideWhenUsed/>
    <w:qFormat/>
    <w:rsid w:val="008A1079"/>
    <w:rPr>
      <w:color w:val="808080"/>
      <w:shd w:val="clear" w:color="auto" w:fill="E6E6E6"/>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paragraph" w:styleId="Ttulo">
    <w:name w:val="Title"/>
    <w:basedOn w:val="Normal"/>
    <w:next w:val="Textoindependiente"/>
    <w:qFormat/>
    <w:pPr>
      <w:keepNext/>
      <w:spacing w:before="240" w:after="120"/>
    </w:pPr>
    <w:rPr>
      <w:rFonts w:ascii="Liberation Sans" w:eastAsia="Microsoft YaHei" w:hAnsi="Liberation Sans" w:cs="Mangal"/>
      <w:sz w:val="28"/>
      <w:szCs w:val="28"/>
    </w:rPr>
  </w:style>
  <w:style w:type="paragraph" w:styleId="Textoindependiente">
    <w:name w:val="Body Text"/>
    <w:basedOn w:val="Normal"/>
    <w:pPr>
      <w:spacing w:after="140" w:line="288" w:lineRule="auto"/>
    </w:pPr>
  </w:style>
  <w:style w:type="paragraph" w:styleId="Lista">
    <w:name w:val="List"/>
    <w:basedOn w:val="Textoindependiente"/>
    <w:rPr>
      <w:rFonts w:cs="Mangal"/>
    </w:rPr>
  </w:style>
  <w:style w:type="paragraph" w:styleId="Epgrafe">
    <w:name w:val="caption"/>
    <w:basedOn w:val="Normal"/>
    <w:qFormat/>
    <w:pPr>
      <w:suppressLineNumbers/>
      <w:spacing w:before="120" w:after="120"/>
    </w:pPr>
    <w:rPr>
      <w:rFonts w:cs="Mangal"/>
      <w:i/>
      <w:iCs/>
      <w:szCs w:val="24"/>
    </w:rPr>
  </w:style>
  <w:style w:type="paragraph" w:customStyle="1" w:styleId="ndice">
    <w:name w:val="Índice"/>
    <w:basedOn w:val="Normal"/>
    <w:qFormat/>
    <w:pPr>
      <w:suppressLineNumbers/>
    </w:pPr>
    <w:rPr>
      <w:rFonts w:cs="Mangal"/>
    </w:rPr>
  </w:style>
  <w:style w:type="paragraph" w:styleId="Encabezado">
    <w:name w:val="header"/>
    <w:basedOn w:val="Normal"/>
    <w:link w:val="EncabezadoCar"/>
    <w:rsid w:val="001B447B"/>
    <w:pPr>
      <w:tabs>
        <w:tab w:val="center" w:pos="4252"/>
        <w:tab w:val="right" w:pos="8504"/>
      </w:tabs>
    </w:pPr>
  </w:style>
  <w:style w:type="paragraph" w:styleId="Piedepgina">
    <w:name w:val="footer"/>
    <w:basedOn w:val="Normal"/>
    <w:semiHidden/>
    <w:rsid w:val="001B447B"/>
    <w:pPr>
      <w:tabs>
        <w:tab w:val="center" w:pos="4252"/>
        <w:tab w:val="right" w:pos="8504"/>
      </w:tabs>
    </w:pPr>
  </w:style>
  <w:style w:type="paragraph" w:styleId="Textodeglobo">
    <w:name w:val="Balloon Text"/>
    <w:basedOn w:val="Normal"/>
    <w:semiHidden/>
    <w:qFormat/>
    <w:rsid w:val="001B447B"/>
    <w:rPr>
      <w:rFonts w:cs="Tahoma"/>
      <w:sz w:val="16"/>
      <w:szCs w:val="16"/>
    </w:rPr>
  </w:style>
  <w:style w:type="paragraph" w:styleId="Prrafodelista">
    <w:name w:val="List Paragraph"/>
    <w:basedOn w:val="Normal"/>
    <w:uiPriority w:val="34"/>
    <w:qFormat/>
    <w:rsid w:val="00BD0ED7"/>
    <w:pPr>
      <w:ind w:left="720"/>
      <w:contextualSpacing/>
    </w:pPr>
  </w:style>
  <w:style w:type="paragraph" w:styleId="NormalWeb">
    <w:name w:val="Normal (Web)"/>
    <w:basedOn w:val="Normal"/>
    <w:uiPriority w:val="99"/>
    <w:unhideWhenUsed/>
    <w:qFormat/>
    <w:rsid w:val="00C6234D"/>
    <w:pPr>
      <w:spacing w:beforeAutospacing="1" w:afterAutospacing="1"/>
    </w:pPr>
    <w:rPr>
      <w:rFonts w:ascii="Times New Roman" w:hAnsi="Times New Roman"/>
      <w:szCs w:val="24"/>
      <w:lang w:eastAsia="es-CO"/>
    </w:rPr>
  </w:style>
  <w:style w:type="paragraph" w:customStyle="1" w:styleId="Contenidodelmarco">
    <w:name w:val="Contenido del marco"/>
    <w:basedOn w:val="Normal"/>
    <w:qFormat/>
  </w:style>
  <w:style w:type="paragraph" w:customStyle="1" w:styleId="Contenidodelatabla">
    <w:name w:val="Contenido de la tabla"/>
    <w:basedOn w:val="Normal"/>
    <w:qFormat/>
  </w:style>
  <w:style w:type="paragraph" w:customStyle="1" w:styleId="Ttulodelatabla">
    <w:name w:val="Título de la tabla"/>
    <w:basedOn w:val="Contenidodelatabla"/>
    <w:qFormat/>
  </w:style>
  <w:style w:type="table" w:styleId="Tablaconcuadrcula">
    <w:name w:val="Table Grid"/>
    <w:basedOn w:val="Tablanormal"/>
    <w:uiPriority w:val="59"/>
    <w:rsid w:val="004D175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basedOn w:val="Fuentedeprrafopredeter"/>
    <w:uiPriority w:val="99"/>
    <w:unhideWhenUsed/>
    <w:rsid w:val="0025457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447B"/>
    <w:rPr>
      <w:rFonts w:ascii="Tahoma" w:hAnsi="Tahoma"/>
      <w:sz w:val="24"/>
      <w:lang w:eastAsia="es-ES"/>
    </w:rPr>
  </w:style>
  <w:style w:type="paragraph" w:styleId="Ttulo1">
    <w:name w:val="heading 1"/>
    <w:basedOn w:val="Normal"/>
    <w:next w:val="Normal"/>
    <w:qFormat/>
    <w:rsid w:val="001B447B"/>
    <w:pPr>
      <w:keepNext/>
      <w:outlineLvl w:val="0"/>
    </w:pPr>
    <w:rPr>
      <w:b/>
      <w:bCs/>
    </w:rPr>
  </w:style>
  <w:style w:type="paragraph" w:styleId="Ttulo2">
    <w:name w:val="heading 2"/>
    <w:basedOn w:val="Normal"/>
    <w:next w:val="Normal"/>
    <w:qFormat/>
    <w:rsid w:val="001B447B"/>
    <w:pPr>
      <w:keepNext/>
      <w:jc w:val="center"/>
      <w:outlineLvl w:val="1"/>
    </w:pPr>
    <w:rPr>
      <w:rFonts w:ascii="Arial" w:hAnsi="Arial" w:cs="Arial"/>
      <w:b/>
      <w:bCs/>
      <w:sz w:val="20"/>
    </w:rPr>
  </w:style>
  <w:style w:type="paragraph" w:styleId="Ttulo3">
    <w:name w:val="heading 3"/>
    <w:basedOn w:val="Normal"/>
    <w:next w:val="Normal"/>
    <w:qFormat/>
    <w:rsid w:val="001B447B"/>
    <w:pPr>
      <w:keepNext/>
      <w:outlineLvl w:val="2"/>
    </w:pPr>
    <w:rPr>
      <w:rFonts w:ascii="Arial" w:hAnsi="Arial" w:cs="Arial"/>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pgina">
    <w:name w:val="page number"/>
    <w:basedOn w:val="Fuentedeprrafopredeter"/>
    <w:semiHidden/>
    <w:qFormat/>
    <w:rsid w:val="001B447B"/>
  </w:style>
  <w:style w:type="character" w:customStyle="1" w:styleId="EncabezadoCar">
    <w:name w:val="Encabezado Car"/>
    <w:basedOn w:val="Fuentedeprrafopredeter"/>
    <w:link w:val="Encabezado"/>
    <w:qFormat/>
    <w:rsid w:val="00191BD2"/>
    <w:rPr>
      <w:rFonts w:ascii="Tahoma" w:hAnsi="Tahoma"/>
      <w:sz w:val="24"/>
      <w:lang w:eastAsia="es-ES"/>
    </w:rPr>
  </w:style>
  <w:style w:type="character" w:customStyle="1" w:styleId="apple-converted-space">
    <w:name w:val="apple-converted-space"/>
    <w:basedOn w:val="Fuentedeprrafopredeter"/>
    <w:qFormat/>
    <w:rsid w:val="00BD0ED7"/>
  </w:style>
  <w:style w:type="character" w:customStyle="1" w:styleId="EnlacedeInternet">
    <w:name w:val="Enlace de Internet"/>
    <w:basedOn w:val="Fuentedeprrafopredeter"/>
    <w:uiPriority w:val="99"/>
    <w:unhideWhenUsed/>
    <w:rsid w:val="00825317"/>
    <w:rPr>
      <w:color w:val="0000FF" w:themeColor="hyperlink"/>
      <w:u w:val="single"/>
    </w:rPr>
  </w:style>
  <w:style w:type="character" w:customStyle="1" w:styleId="Mencinsinresolver1">
    <w:name w:val="Mención sin resolver1"/>
    <w:basedOn w:val="Fuentedeprrafopredeter"/>
    <w:uiPriority w:val="99"/>
    <w:semiHidden/>
    <w:unhideWhenUsed/>
    <w:qFormat/>
    <w:rsid w:val="008A1079"/>
    <w:rPr>
      <w:color w:val="808080"/>
      <w:shd w:val="clear" w:color="auto" w:fill="E6E6E6"/>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paragraph" w:styleId="Ttulo">
    <w:name w:val="Title"/>
    <w:basedOn w:val="Normal"/>
    <w:next w:val="Textoindependiente"/>
    <w:qFormat/>
    <w:pPr>
      <w:keepNext/>
      <w:spacing w:before="240" w:after="120"/>
    </w:pPr>
    <w:rPr>
      <w:rFonts w:ascii="Liberation Sans" w:eastAsia="Microsoft YaHei" w:hAnsi="Liberation Sans" w:cs="Mangal"/>
      <w:sz w:val="28"/>
      <w:szCs w:val="28"/>
    </w:rPr>
  </w:style>
  <w:style w:type="paragraph" w:styleId="Textoindependiente">
    <w:name w:val="Body Text"/>
    <w:basedOn w:val="Normal"/>
    <w:pPr>
      <w:spacing w:after="140" w:line="288" w:lineRule="auto"/>
    </w:pPr>
  </w:style>
  <w:style w:type="paragraph" w:styleId="Lista">
    <w:name w:val="List"/>
    <w:basedOn w:val="Textoindependiente"/>
    <w:rPr>
      <w:rFonts w:cs="Mangal"/>
    </w:rPr>
  </w:style>
  <w:style w:type="paragraph" w:styleId="Epgrafe">
    <w:name w:val="caption"/>
    <w:basedOn w:val="Normal"/>
    <w:qFormat/>
    <w:pPr>
      <w:suppressLineNumbers/>
      <w:spacing w:before="120" w:after="120"/>
    </w:pPr>
    <w:rPr>
      <w:rFonts w:cs="Mangal"/>
      <w:i/>
      <w:iCs/>
      <w:szCs w:val="24"/>
    </w:rPr>
  </w:style>
  <w:style w:type="paragraph" w:customStyle="1" w:styleId="ndice">
    <w:name w:val="Índice"/>
    <w:basedOn w:val="Normal"/>
    <w:qFormat/>
    <w:pPr>
      <w:suppressLineNumbers/>
    </w:pPr>
    <w:rPr>
      <w:rFonts w:cs="Mangal"/>
    </w:rPr>
  </w:style>
  <w:style w:type="paragraph" w:styleId="Encabezado">
    <w:name w:val="header"/>
    <w:basedOn w:val="Normal"/>
    <w:link w:val="EncabezadoCar"/>
    <w:rsid w:val="001B447B"/>
    <w:pPr>
      <w:tabs>
        <w:tab w:val="center" w:pos="4252"/>
        <w:tab w:val="right" w:pos="8504"/>
      </w:tabs>
    </w:pPr>
  </w:style>
  <w:style w:type="paragraph" w:styleId="Piedepgina">
    <w:name w:val="footer"/>
    <w:basedOn w:val="Normal"/>
    <w:semiHidden/>
    <w:rsid w:val="001B447B"/>
    <w:pPr>
      <w:tabs>
        <w:tab w:val="center" w:pos="4252"/>
        <w:tab w:val="right" w:pos="8504"/>
      </w:tabs>
    </w:pPr>
  </w:style>
  <w:style w:type="paragraph" w:styleId="Textodeglobo">
    <w:name w:val="Balloon Text"/>
    <w:basedOn w:val="Normal"/>
    <w:semiHidden/>
    <w:qFormat/>
    <w:rsid w:val="001B447B"/>
    <w:rPr>
      <w:rFonts w:cs="Tahoma"/>
      <w:sz w:val="16"/>
      <w:szCs w:val="16"/>
    </w:rPr>
  </w:style>
  <w:style w:type="paragraph" w:styleId="Prrafodelista">
    <w:name w:val="List Paragraph"/>
    <w:basedOn w:val="Normal"/>
    <w:uiPriority w:val="34"/>
    <w:qFormat/>
    <w:rsid w:val="00BD0ED7"/>
    <w:pPr>
      <w:ind w:left="720"/>
      <w:contextualSpacing/>
    </w:pPr>
  </w:style>
  <w:style w:type="paragraph" w:styleId="NormalWeb">
    <w:name w:val="Normal (Web)"/>
    <w:basedOn w:val="Normal"/>
    <w:uiPriority w:val="99"/>
    <w:unhideWhenUsed/>
    <w:qFormat/>
    <w:rsid w:val="00C6234D"/>
    <w:pPr>
      <w:spacing w:beforeAutospacing="1" w:afterAutospacing="1"/>
    </w:pPr>
    <w:rPr>
      <w:rFonts w:ascii="Times New Roman" w:hAnsi="Times New Roman"/>
      <w:szCs w:val="24"/>
      <w:lang w:eastAsia="es-CO"/>
    </w:rPr>
  </w:style>
  <w:style w:type="paragraph" w:customStyle="1" w:styleId="Contenidodelmarco">
    <w:name w:val="Contenido del marco"/>
    <w:basedOn w:val="Normal"/>
    <w:qFormat/>
  </w:style>
  <w:style w:type="paragraph" w:customStyle="1" w:styleId="Contenidodelatabla">
    <w:name w:val="Contenido de la tabla"/>
    <w:basedOn w:val="Normal"/>
    <w:qFormat/>
  </w:style>
  <w:style w:type="paragraph" w:customStyle="1" w:styleId="Ttulodelatabla">
    <w:name w:val="Título de la tabla"/>
    <w:basedOn w:val="Contenidodelatabla"/>
    <w:qFormat/>
  </w:style>
  <w:style w:type="table" w:styleId="Tablaconcuadrcula">
    <w:name w:val="Table Grid"/>
    <w:basedOn w:val="Tablanormal"/>
    <w:uiPriority w:val="59"/>
    <w:rsid w:val="004D175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basedOn w:val="Fuentedeprrafopredeter"/>
    <w:uiPriority w:val="99"/>
    <w:unhideWhenUsed/>
    <w:rsid w:val="002545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4666031">
      <w:bodyDiv w:val="1"/>
      <w:marLeft w:val="0"/>
      <w:marRight w:val="0"/>
      <w:marTop w:val="0"/>
      <w:marBottom w:val="0"/>
      <w:divBdr>
        <w:top w:val="none" w:sz="0" w:space="0" w:color="auto"/>
        <w:left w:val="none" w:sz="0" w:space="0" w:color="auto"/>
        <w:bottom w:val="none" w:sz="0" w:space="0" w:color="auto"/>
        <w:right w:val="none" w:sz="0" w:space="0" w:color="auto"/>
      </w:divBdr>
    </w:div>
    <w:div w:id="16435413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sisvesosubrednorte1@gmail.com" TargetMode="External"/><Relationship Id="rId4" Type="http://schemas.microsoft.com/office/2007/relationships/stylesWithEffects" Target="stylesWithEffects.xml"/><Relationship Id="rId9" Type="http://schemas.openxmlformats.org/officeDocument/2006/relationships/hyperlink" Target="mailto:sisvistra.norte@gmail.com"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7198A5-ADEB-4BAF-9803-5B1E80370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660</TotalTime>
  <Pages>14</Pages>
  <Words>4231</Words>
  <Characters>23275</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NOMBRE</vt:lpstr>
    </vt:vector>
  </TitlesOfParts>
  <Company>Monica</Company>
  <LinksUpToDate>false</LinksUpToDate>
  <CharactersWithSpaces>27452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NOMBRE</dc:title>
  <dc:creator>Familia Gonzalez</dc:creator>
  <cp:lastModifiedBy>Usuario Hospital de Suba</cp:lastModifiedBy>
  <cp:revision>14</cp:revision>
  <cp:lastPrinted>2016-07-19T22:50:00Z</cp:lastPrinted>
  <dcterms:created xsi:type="dcterms:W3CDTF">2018-03-05T21:20:00Z</dcterms:created>
  <dcterms:modified xsi:type="dcterms:W3CDTF">2018-03-12T14:24:00Z</dcterms:modified>
  <dc:language>es-CO</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Monica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