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B3" w:rsidRPr="000D7DB9" w:rsidRDefault="00853873" w:rsidP="0041650F">
      <w:pPr>
        <w:pStyle w:val="Sinespaciado"/>
        <w:rPr>
          <w:rFonts w:cs="Arial"/>
          <w:b/>
        </w:rPr>
      </w:pPr>
      <w:r w:rsidRPr="000D7DB9">
        <w:rPr>
          <w:noProof/>
          <w:lang w:val="es-MX" w:eastAsia="es-MX"/>
        </w:rPr>
        <w:drawing>
          <wp:anchor distT="0" distB="0" distL="114300" distR="114300" simplePos="0" relativeHeight="251658240" behindDoc="0" locked="0" layoutInCell="1" allowOverlap="1" wp14:anchorId="3E7760EC" wp14:editId="04CE1C73">
            <wp:simplePos x="0" y="0"/>
            <wp:positionH relativeFrom="margin">
              <wp:align>center</wp:align>
            </wp:positionH>
            <wp:positionV relativeFrom="page">
              <wp:posOffset>52070</wp:posOffset>
            </wp:positionV>
            <wp:extent cx="7513320" cy="10635615"/>
            <wp:effectExtent l="0" t="0" r="0" b="0"/>
            <wp:wrapSquare wrapText="bothSides"/>
            <wp:docPr id="2" name="Imagen 2" descr="Fondos de Alimentos de colores #22 - 1440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s de Alimentos de colores #22 - 1440x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3320" cy="106356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F3DB3" w:rsidRPr="000D7DB9">
        <w:rPr>
          <w:noProof/>
          <w:lang w:val="es-MX" w:eastAsia="es-MX"/>
        </w:rPr>
        <mc:AlternateContent>
          <mc:Choice Requires="wps">
            <w:drawing>
              <wp:anchor distT="45720" distB="45720" distL="114300" distR="114300" simplePos="0" relativeHeight="251660288" behindDoc="0" locked="0" layoutInCell="1" allowOverlap="1" wp14:anchorId="72260BAA" wp14:editId="389A7930">
                <wp:simplePos x="0" y="0"/>
                <wp:positionH relativeFrom="margin">
                  <wp:posOffset>-291859</wp:posOffset>
                </wp:positionH>
                <wp:positionV relativeFrom="page">
                  <wp:posOffset>903890</wp:posOffset>
                </wp:positionV>
                <wp:extent cx="5380990" cy="10859135"/>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10859135"/>
                        </a:xfrm>
                        <a:prstGeom prst="rect">
                          <a:avLst/>
                        </a:prstGeom>
                        <a:noFill/>
                        <a:ln w="9525">
                          <a:noFill/>
                          <a:miter lim="800000"/>
                          <a:headEnd/>
                          <a:tailEnd/>
                        </a:ln>
                      </wps:spPr>
                      <wps:txbx>
                        <w:txbxContent>
                          <w:p w:rsidR="005947DD" w:rsidRPr="00247C13" w:rsidRDefault="005947DD" w:rsidP="00247C13">
                            <w:pPr>
                              <w:jc w:val="center"/>
                              <w:rPr>
                                <w:noProof/>
                                <w:lang w:eastAsia="es-ES"/>
                              </w:rPr>
                            </w:pPr>
                            <w:r>
                              <w:rPr>
                                <w:noProof/>
                                <w:lang w:val="es-MX" w:eastAsia="es-MX"/>
                              </w:rPr>
                              <w:drawing>
                                <wp:inline distT="0" distB="0" distL="0" distR="0" wp14:anchorId="46E7B8AA" wp14:editId="42A4248E">
                                  <wp:extent cx="2480441" cy="8807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791" cy="899688"/>
                                          </a:xfrm>
                                          <a:prstGeom prst="rect">
                                            <a:avLst/>
                                          </a:prstGeom>
                                          <a:ln>
                                            <a:noFill/>
                                          </a:ln>
                                          <a:effectLst>
                                            <a:softEdge rad="112500"/>
                                          </a:effectLst>
                                        </pic:spPr>
                                      </pic:pic>
                                    </a:graphicData>
                                  </a:graphic>
                                </wp:inline>
                              </w:drawing>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VIGILANCIA EN SALUD </w:t>
                            </w:r>
                            <w:r w:rsidRPr="00021137">
                              <w:rPr>
                                <w:rFonts w:ascii="Maiandra GD" w:eastAsia="Microsoft JhengHei UI" w:hAnsi="Maiandra GD"/>
                                <w:b/>
                                <w:outline/>
                                <w:color w:val="9B2D1F" w:themeColor="accent2"/>
                                <w:sz w:val="66"/>
                                <w:szCs w:val="6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PÚBLICA</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COMITÉ DE VIGILANCIA EPIDEMIOLOGICA</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COVE</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85387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LOCALIDAD </w:t>
                            </w:r>
                            <w:bookmarkStart w:id="0" w:name="_GoBack"/>
                            <w:bookmarkEnd w:id="0"/>
                          </w:p>
                          <w:p w:rsidR="005947DD" w:rsidRPr="00021137" w:rsidRDefault="00A429B9" w:rsidP="0085387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SUBA</w:t>
                            </w:r>
                          </w:p>
                          <w:p w:rsidR="005947DD" w:rsidRPr="00021137" w:rsidRDefault="005947DD" w:rsidP="00247C13">
                            <w:pP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FEBRERO 2018</w:t>
                            </w:r>
                          </w:p>
                          <w:p w:rsidR="005947DD" w:rsidRPr="00853873" w:rsidRDefault="005947DD" w:rsidP="00853873">
                            <w:pPr>
                              <w:jc w:val="center"/>
                              <w:rPr>
                                <w:noProof/>
                                <w:sz w:val="40"/>
                                <w:szCs w:val="40"/>
                                <w:lang w:eastAsia="es-ES"/>
                              </w:rPr>
                            </w:pPr>
                            <w:r w:rsidRPr="00853873">
                              <w:rPr>
                                <w:noProof/>
                                <w:sz w:val="40"/>
                                <w:szCs w:val="40"/>
                                <w:lang w:val="es-MX" w:eastAsia="es-MX"/>
                              </w:rPr>
                              <w:drawing>
                                <wp:inline distT="0" distB="0" distL="0" distR="0" wp14:anchorId="2E1B2A69" wp14:editId="6336DB47">
                                  <wp:extent cx="2120900" cy="108256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0750" cy="1092697"/>
                                          </a:xfrm>
                                          <a:prstGeom prst="rect">
                                            <a:avLst/>
                                          </a:prstGeom>
                                          <a:ln>
                                            <a:noFill/>
                                          </a:ln>
                                          <a:effectLst>
                                            <a:softEdge rad="112500"/>
                                          </a:effectLst>
                                        </pic:spPr>
                                      </pic:pic>
                                    </a:graphicData>
                                  </a:graphic>
                                </wp:inline>
                              </w:drawing>
                            </w:r>
                          </w:p>
                          <w:p w:rsidR="005947DD" w:rsidRDefault="005947DD">
                            <w:pPr>
                              <w:rPr>
                                <w:noProof/>
                                <w:lang w:eastAsia="es-ES"/>
                              </w:rPr>
                            </w:pPr>
                          </w:p>
                          <w:p w:rsidR="005947DD" w:rsidRDefault="005947DD" w:rsidP="00853873">
                            <w:pPr>
                              <w:jc w:val="center"/>
                            </w:pPr>
                          </w:p>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pt;margin-top:71.15pt;width:423.7pt;height:855.0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" filled="f" stroked="f">
                <v:textbox style="mso-fit-shape-to-text:t">
                  <w:txbxContent>
                    <w:p w:rsidR="005947DD" w:rsidRPr="00247C13" w:rsidRDefault="005947DD" w:rsidP="00247C13">
                      <w:pPr>
                        <w:jc w:val="center"/>
                        <w:rPr>
                          <w:noProof/>
                          <w:lang w:eastAsia="es-ES"/>
                        </w:rPr>
                      </w:pPr>
                      <w:r>
                        <w:rPr>
                          <w:noProof/>
                          <w:lang w:val="es-MX" w:eastAsia="es-MX"/>
                        </w:rPr>
                        <w:drawing>
                          <wp:inline distT="0" distB="0" distL="0" distR="0" wp14:anchorId="46E7B8AA" wp14:editId="42A4248E">
                            <wp:extent cx="2480441" cy="8807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791" cy="899688"/>
                                    </a:xfrm>
                                    <a:prstGeom prst="rect">
                                      <a:avLst/>
                                    </a:prstGeom>
                                    <a:ln>
                                      <a:noFill/>
                                    </a:ln>
                                    <a:effectLst>
                                      <a:softEdge rad="112500"/>
                                    </a:effectLst>
                                  </pic:spPr>
                                </pic:pic>
                              </a:graphicData>
                            </a:graphic>
                          </wp:inline>
                        </w:drawing>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VIGILANCIA EN SALUD </w:t>
                      </w:r>
                      <w:r w:rsidRPr="00021137">
                        <w:rPr>
                          <w:rFonts w:ascii="Maiandra GD" w:eastAsia="Microsoft JhengHei UI" w:hAnsi="Maiandra GD"/>
                          <w:b/>
                          <w:outline/>
                          <w:color w:val="9B2D1F" w:themeColor="accent2"/>
                          <w:sz w:val="66"/>
                          <w:szCs w:val="6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PÚBLICA</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COMITÉ DE VIGILANCIA EPIDEMIOLOGICA</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COVE</w:t>
                      </w: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85387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LOCALIDAD </w:t>
                      </w:r>
                      <w:bookmarkStart w:id="1" w:name="_GoBack"/>
                      <w:bookmarkEnd w:id="1"/>
                    </w:p>
                    <w:p w:rsidR="005947DD" w:rsidRPr="00021137" w:rsidRDefault="00A429B9" w:rsidP="0085387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SUBA</w:t>
                      </w:r>
                    </w:p>
                    <w:p w:rsidR="005947DD" w:rsidRPr="00021137" w:rsidRDefault="005947DD" w:rsidP="00247C13">
                      <w:pP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5947DD" w:rsidRPr="00021137" w:rsidRDefault="005947DD" w:rsidP="00247C13">
                      <w:pPr>
                        <w:jc w:val="center"/>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21137">
                        <w:rPr>
                          <w:rFonts w:ascii="Maiandra GD" w:hAnsi="Maiandra GD"/>
                          <w:b/>
                          <w:outline/>
                          <w:noProof/>
                          <w:color w:val="9B2D1F" w:themeColor="accent2"/>
                          <w:sz w:val="66"/>
                          <w:szCs w:val="66"/>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FEBRERO 2018</w:t>
                      </w:r>
                    </w:p>
                    <w:p w:rsidR="005947DD" w:rsidRPr="00853873" w:rsidRDefault="005947DD" w:rsidP="00853873">
                      <w:pPr>
                        <w:jc w:val="center"/>
                        <w:rPr>
                          <w:noProof/>
                          <w:sz w:val="40"/>
                          <w:szCs w:val="40"/>
                          <w:lang w:eastAsia="es-ES"/>
                        </w:rPr>
                      </w:pPr>
                      <w:r w:rsidRPr="00853873">
                        <w:rPr>
                          <w:noProof/>
                          <w:sz w:val="40"/>
                          <w:szCs w:val="40"/>
                          <w:lang w:val="es-MX" w:eastAsia="es-MX"/>
                        </w:rPr>
                        <w:drawing>
                          <wp:inline distT="0" distB="0" distL="0" distR="0" wp14:anchorId="2E1B2A69" wp14:editId="6336DB47">
                            <wp:extent cx="2120900" cy="108256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0750" cy="1092697"/>
                                    </a:xfrm>
                                    <a:prstGeom prst="rect">
                                      <a:avLst/>
                                    </a:prstGeom>
                                    <a:ln>
                                      <a:noFill/>
                                    </a:ln>
                                    <a:effectLst>
                                      <a:softEdge rad="112500"/>
                                    </a:effectLst>
                                  </pic:spPr>
                                </pic:pic>
                              </a:graphicData>
                            </a:graphic>
                          </wp:inline>
                        </w:drawing>
                      </w:r>
                    </w:p>
                    <w:p w:rsidR="005947DD" w:rsidRDefault="005947DD">
                      <w:pPr>
                        <w:rPr>
                          <w:noProof/>
                          <w:lang w:eastAsia="es-ES"/>
                        </w:rPr>
                      </w:pPr>
                    </w:p>
                    <w:p w:rsidR="005947DD" w:rsidRDefault="005947DD" w:rsidP="00853873">
                      <w:pPr>
                        <w:jc w:val="center"/>
                      </w:pPr>
                    </w:p>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p w:rsidR="005947DD" w:rsidRDefault="005947DD"/>
                  </w:txbxContent>
                </v:textbox>
                <w10:wrap type="square" anchorx="margin" anchory="page"/>
              </v:shape>
            </w:pict>
          </mc:Fallback>
        </mc:AlternateContent>
      </w:r>
    </w:p>
    <w:p w:rsidR="000D7DB9" w:rsidRPr="0053454D" w:rsidRDefault="000D7DB9" w:rsidP="009D090C">
      <w:pPr>
        <w:pStyle w:val="Prrafodelista"/>
        <w:numPr>
          <w:ilvl w:val="0"/>
          <w:numId w:val="11"/>
        </w:numPr>
        <w:suppressAutoHyphens/>
        <w:spacing w:after="0" w:line="360" w:lineRule="auto"/>
        <w:jc w:val="both"/>
        <w:rPr>
          <w:rFonts w:ascii="Arial" w:hAnsi="Arial" w:cs="Arial"/>
        </w:rPr>
      </w:pPr>
      <w:r w:rsidRPr="0053454D">
        <w:rPr>
          <w:rFonts w:ascii="Arial" w:hAnsi="Arial" w:cs="Arial"/>
          <w:b/>
          <w:u w:val="single"/>
        </w:rPr>
        <w:lastRenderedPageBreak/>
        <w:t>Datos de identificación</w:t>
      </w:r>
      <w:r w:rsidRPr="0053454D">
        <w:rPr>
          <w:rFonts w:ascii="Arial" w:hAnsi="Arial" w:cs="Arial"/>
        </w:rPr>
        <w:t>.</w:t>
      </w:r>
    </w:p>
    <w:p w:rsidR="000D7DB9" w:rsidRPr="0053454D" w:rsidRDefault="000D7DB9" w:rsidP="009D090C">
      <w:pPr>
        <w:spacing w:after="0" w:line="360" w:lineRule="auto"/>
        <w:jc w:val="both"/>
        <w:rPr>
          <w:rFonts w:ascii="Arial" w:hAnsi="Arial" w:cs="Arial"/>
        </w:rPr>
      </w:pPr>
      <w:r w:rsidRPr="0053454D">
        <w:rPr>
          <w:rFonts w:ascii="Arial" w:hAnsi="Arial" w:cs="Arial"/>
        </w:rPr>
        <w:t xml:space="preserve">Fecha: </w:t>
      </w:r>
      <w:r w:rsidR="00272AF5">
        <w:rPr>
          <w:rFonts w:ascii="Arial" w:hAnsi="Arial" w:cs="Arial"/>
        </w:rPr>
        <w:t>23</w:t>
      </w:r>
      <w:r w:rsidR="005D1467" w:rsidRPr="0053454D">
        <w:rPr>
          <w:rFonts w:ascii="Arial" w:hAnsi="Arial" w:cs="Arial"/>
        </w:rPr>
        <w:t>/02/2018</w:t>
      </w:r>
    </w:p>
    <w:p w:rsidR="003F7082" w:rsidRPr="0053454D" w:rsidRDefault="003F7082" w:rsidP="009D090C">
      <w:pPr>
        <w:spacing w:line="360" w:lineRule="auto"/>
        <w:jc w:val="both"/>
        <w:rPr>
          <w:rFonts w:ascii="Arial" w:hAnsi="Arial" w:cs="Arial"/>
          <w:lang w:val="es-CO"/>
        </w:rPr>
      </w:pPr>
      <w:r w:rsidRPr="0053454D">
        <w:rPr>
          <w:rFonts w:ascii="Arial" w:hAnsi="Arial" w:cs="Arial"/>
        </w:rPr>
        <w:t xml:space="preserve">Lugar: </w:t>
      </w:r>
      <w:r w:rsidR="00272AF5">
        <w:rPr>
          <w:rFonts w:ascii="Arial" w:hAnsi="Arial" w:cs="Arial"/>
          <w:bCs/>
          <w:lang w:val="es-CO"/>
        </w:rPr>
        <w:t>Auditorio Centro de Servicios especializados</w:t>
      </w:r>
    </w:p>
    <w:p w:rsidR="000D7DB9" w:rsidRPr="0053454D" w:rsidRDefault="000D7DB9" w:rsidP="009D090C">
      <w:pPr>
        <w:spacing w:line="360" w:lineRule="auto"/>
        <w:jc w:val="both"/>
        <w:rPr>
          <w:rFonts w:ascii="Arial" w:hAnsi="Arial" w:cs="Arial"/>
          <w:lang w:val="es-CO"/>
        </w:rPr>
      </w:pPr>
      <w:r w:rsidRPr="0053454D">
        <w:rPr>
          <w:rFonts w:ascii="Arial" w:hAnsi="Arial" w:cs="Arial"/>
        </w:rPr>
        <w:t>Hora: 8:00 a.m.</w:t>
      </w:r>
    </w:p>
    <w:p w:rsidR="000D7DB9" w:rsidRPr="0053454D" w:rsidRDefault="000D7DB9" w:rsidP="009D090C">
      <w:pPr>
        <w:spacing w:after="0" w:line="360" w:lineRule="auto"/>
        <w:jc w:val="both"/>
        <w:rPr>
          <w:rFonts w:ascii="Arial" w:hAnsi="Arial" w:cs="Arial"/>
        </w:rPr>
      </w:pPr>
      <w:r w:rsidRPr="0053454D">
        <w:rPr>
          <w:rFonts w:ascii="Arial" w:hAnsi="Arial" w:cs="Arial"/>
        </w:rPr>
        <w:t xml:space="preserve">Próxima reunión: </w:t>
      </w:r>
      <w:r w:rsidR="00272AF5">
        <w:rPr>
          <w:rFonts w:ascii="Arial" w:hAnsi="Arial" w:cs="Arial"/>
        </w:rPr>
        <w:t>23</w:t>
      </w:r>
      <w:r w:rsidR="006E2CF1" w:rsidRPr="0053454D">
        <w:rPr>
          <w:rFonts w:ascii="Arial" w:hAnsi="Arial" w:cs="Arial"/>
        </w:rPr>
        <w:t xml:space="preserve"> de marzo 2018</w:t>
      </w:r>
    </w:p>
    <w:p w:rsidR="00423252" w:rsidRPr="0053454D" w:rsidRDefault="00423252" w:rsidP="009D090C">
      <w:pPr>
        <w:spacing w:after="0" w:line="360" w:lineRule="auto"/>
        <w:jc w:val="both"/>
        <w:rPr>
          <w:rFonts w:ascii="Arial" w:hAnsi="Arial" w:cs="Arial"/>
        </w:rPr>
      </w:pPr>
    </w:p>
    <w:p w:rsidR="00423252" w:rsidRPr="0053454D" w:rsidRDefault="00423252" w:rsidP="009D090C">
      <w:pPr>
        <w:spacing w:line="360" w:lineRule="auto"/>
        <w:jc w:val="both"/>
        <w:rPr>
          <w:rFonts w:ascii="Arial" w:hAnsi="Arial" w:cs="Arial"/>
          <w:b/>
          <w:bCs/>
        </w:rPr>
      </w:pPr>
      <w:r w:rsidRPr="0053454D">
        <w:rPr>
          <w:rFonts w:ascii="Arial" w:hAnsi="Arial" w:cs="Arial"/>
          <w:b/>
        </w:rPr>
        <w:t>AG</w:t>
      </w:r>
      <w:r w:rsidRPr="0053454D">
        <w:rPr>
          <w:rFonts w:ascii="Arial" w:hAnsi="Arial" w:cs="Arial"/>
          <w:b/>
          <w:bCs/>
        </w:rPr>
        <w:t>ENDA:</w:t>
      </w:r>
    </w:p>
    <w:p w:rsidR="00423252" w:rsidRPr="0053454D" w:rsidRDefault="00423252" w:rsidP="009D090C">
      <w:pPr>
        <w:numPr>
          <w:ilvl w:val="0"/>
          <w:numId w:val="12"/>
        </w:numPr>
        <w:suppressAutoHyphens/>
        <w:spacing w:after="200" w:line="360" w:lineRule="auto"/>
        <w:jc w:val="both"/>
        <w:rPr>
          <w:rFonts w:ascii="Arial" w:hAnsi="Arial" w:cs="Arial"/>
          <w:bCs/>
        </w:rPr>
      </w:pPr>
      <w:r w:rsidRPr="0053454D">
        <w:rPr>
          <w:rFonts w:ascii="Arial" w:hAnsi="Arial" w:cs="Arial"/>
          <w:bCs/>
        </w:rPr>
        <w:t>Instalación Comité de Vigilancia Epidemiológica Lectura Acta anterior.</w:t>
      </w:r>
    </w:p>
    <w:p w:rsidR="00423252" w:rsidRPr="0053454D" w:rsidRDefault="00423252" w:rsidP="009D090C">
      <w:pPr>
        <w:numPr>
          <w:ilvl w:val="0"/>
          <w:numId w:val="12"/>
        </w:numPr>
        <w:suppressAutoHyphens/>
        <w:spacing w:after="200" w:line="360" w:lineRule="auto"/>
        <w:jc w:val="both"/>
        <w:rPr>
          <w:rFonts w:ascii="Arial" w:hAnsi="Arial" w:cs="Arial"/>
          <w:bCs/>
          <w:lang w:val="es-CO"/>
        </w:rPr>
      </w:pPr>
      <w:r w:rsidRPr="0053454D">
        <w:rPr>
          <w:rFonts w:ascii="Arial" w:hAnsi="Arial" w:cs="Arial"/>
          <w:bCs/>
          <w:lang w:val="es-CO"/>
        </w:rPr>
        <w:t>Introducción SIVISTRA (Subsistema de Vigilancia Epidemiológica para trabajadores del sector informal) - Sustancias Químicas en el sector informal y sus afecciones a la Salud.  BETSY SALAZAR – YAZMIN RODRIGUEZ – BIBIANA ACERO subred Sur.</w:t>
      </w:r>
    </w:p>
    <w:p w:rsidR="00423252" w:rsidRPr="0053454D" w:rsidRDefault="00423252" w:rsidP="009D090C">
      <w:pPr>
        <w:numPr>
          <w:ilvl w:val="0"/>
          <w:numId w:val="12"/>
        </w:numPr>
        <w:suppressAutoHyphens/>
        <w:spacing w:after="200" w:line="360" w:lineRule="auto"/>
        <w:jc w:val="both"/>
        <w:rPr>
          <w:rFonts w:ascii="Arial" w:hAnsi="Arial" w:cs="Arial"/>
          <w:bCs/>
          <w:lang w:val="es-CO"/>
        </w:rPr>
      </w:pPr>
      <w:r w:rsidRPr="0053454D">
        <w:rPr>
          <w:rFonts w:ascii="Arial" w:hAnsi="Arial" w:cs="Arial"/>
          <w:bCs/>
          <w:lang w:val="es-CO"/>
        </w:rPr>
        <w:t xml:space="preserve">Introducción y socialización de indicadores SISVESO (Sistema de Vigilancia Epidemiológica en Salud Oral).  Unidad de análisis de caso de población alerta en salud oral.  </w:t>
      </w:r>
      <w:r w:rsidR="006B4F17">
        <w:rPr>
          <w:rFonts w:ascii="Arial" w:hAnsi="Arial" w:cs="Arial"/>
          <w:bCs/>
          <w:lang w:val="es-CO"/>
        </w:rPr>
        <w:t>ANGIE SANABRIA</w:t>
      </w:r>
    </w:p>
    <w:p w:rsidR="00423252" w:rsidRPr="0053454D" w:rsidRDefault="00423252" w:rsidP="009D090C">
      <w:pPr>
        <w:numPr>
          <w:ilvl w:val="0"/>
          <w:numId w:val="12"/>
        </w:numPr>
        <w:suppressAutoHyphens/>
        <w:spacing w:after="200" w:line="360" w:lineRule="auto"/>
        <w:jc w:val="both"/>
        <w:rPr>
          <w:rFonts w:ascii="Arial" w:hAnsi="Arial" w:cs="Arial"/>
          <w:bCs/>
          <w:lang w:val="es-CO"/>
        </w:rPr>
      </w:pPr>
      <w:r w:rsidRPr="0053454D">
        <w:rPr>
          <w:rFonts w:ascii="Arial" w:hAnsi="Arial" w:cs="Arial"/>
          <w:lang w:val="es-CO"/>
        </w:rPr>
        <w:t>Unidad de análisis SIVISTRA – SISVESO</w:t>
      </w:r>
    </w:p>
    <w:p w:rsidR="00423252" w:rsidRPr="0053454D" w:rsidRDefault="00423252" w:rsidP="009D090C">
      <w:pPr>
        <w:numPr>
          <w:ilvl w:val="0"/>
          <w:numId w:val="12"/>
        </w:numPr>
        <w:suppressAutoHyphens/>
        <w:spacing w:after="200" w:line="360" w:lineRule="auto"/>
        <w:jc w:val="both"/>
        <w:rPr>
          <w:rFonts w:ascii="Arial" w:hAnsi="Arial" w:cs="Arial"/>
          <w:lang w:val="es-CO"/>
        </w:rPr>
      </w:pPr>
      <w:r w:rsidRPr="0053454D">
        <w:rPr>
          <w:rFonts w:ascii="Arial" w:hAnsi="Arial" w:cs="Arial"/>
        </w:rPr>
        <w:t>Alerta de Sarampión y rubeola</w:t>
      </w:r>
      <w:r w:rsidRPr="0053454D">
        <w:rPr>
          <w:rFonts w:ascii="Arial" w:hAnsi="Arial" w:cs="Arial"/>
          <w:lang w:val="es-CO"/>
        </w:rPr>
        <w:t xml:space="preserve">  </w:t>
      </w:r>
    </w:p>
    <w:p w:rsidR="00423252" w:rsidRPr="0053454D" w:rsidRDefault="00423252" w:rsidP="009D090C">
      <w:pPr>
        <w:numPr>
          <w:ilvl w:val="0"/>
          <w:numId w:val="12"/>
        </w:numPr>
        <w:suppressAutoHyphens/>
        <w:spacing w:after="200" w:line="360" w:lineRule="auto"/>
        <w:jc w:val="both"/>
        <w:rPr>
          <w:rFonts w:ascii="Arial" w:hAnsi="Arial" w:cs="Arial"/>
          <w:bCs/>
          <w:lang w:val="es-CO"/>
        </w:rPr>
      </w:pPr>
      <w:r w:rsidRPr="0053454D">
        <w:rPr>
          <w:rFonts w:ascii="Arial" w:hAnsi="Arial" w:cs="Arial"/>
        </w:rPr>
        <w:t xml:space="preserve">Socialización tableros de control SIVIGILA </w:t>
      </w:r>
    </w:p>
    <w:p w:rsidR="009D090C" w:rsidRPr="0053454D" w:rsidRDefault="00245589" w:rsidP="009D090C">
      <w:pPr>
        <w:pStyle w:val="Sinespaciado"/>
        <w:numPr>
          <w:ilvl w:val="0"/>
          <w:numId w:val="12"/>
        </w:numPr>
        <w:spacing w:line="360" w:lineRule="auto"/>
        <w:jc w:val="both"/>
        <w:rPr>
          <w:rFonts w:ascii="Arial" w:hAnsi="Arial" w:cs="Arial"/>
          <w:sz w:val="22"/>
          <w:szCs w:val="22"/>
          <w:lang w:val="es-ES"/>
        </w:rPr>
      </w:pPr>
      <w:r w:rsidRPr="0053454D">
        <w:rPr>
          <w:rFonts w:ascii="Arial" w:hAnsi="Arial" w:cs="Arial"/>
          <w:sz w:val="22"/>
          <w:szCs w:val="22"/>
          <w:lang w:val="es-ES"/>
        </w:rPr>
        <w:t>Socialización de alertas en salud pública.</w:t>
      </w:r>
    </w:p>
    <w:p w:rsidR="00423252" w:rsidRPr="0053454D" w:rsidRDefault="00423252" w:rsidP="009D090C">
      <w:pPr>
        <w:spacing w:after="0" w:line="360" w:lineRule="auto"/>
        <w:jc w:val="both"/>
        <w:rPr>
          <w:rFonts w:ascii="Arial" w:hAnsi="Arial" w:cs="Arial"/>
        </w:rPr>
      </w:pPr>
    </w:p>
    <w:p w:rsidR="002E0F74" w:rsidRPr="0053454D" w:rsidRDefault="002E0F74" w:rsidP="009D090C">
      <w:pPr>
        <w:spacing w:after="0" w:line="360" w:lineRule="auto"/>
        <w:jc w:val="both"/>
        <w:rPr>
          <w:rFonts w:ascii="Arial" w:hAnsi="Arial" w:cs="Arial"/>
          <w:b/>
        </w:rPr>
      </w:pPr>
    </w:p>
    <w:p w:rsidR="000D7DB9" w:rsidRPr="0053454D" w:rsidRDefault="000D7DB9" w:rsidP="009D090C">
      <w:pPr>
        <w:spacing w:after="0" w:line="360" w:lineRule="auto"/>
        <w:jc w:val="both"/>
        <w:rPr>
          <w:rFonts w:ascii="Arial" w:hAnsi="Arial" w:cs="Arial"/>
          <w:b/>
        </w:rPr>
      </w:pPr>
      <w:r w:rsidRPr="0053454D">
        <w:rPr>
          <w:rFonts w:ascii="Arial" w:hAnsi="Arial" w:cs="Arial"/>
          <w:b/>
        </w:rPr>
        <w:t>Objetivo:</w:t>
      </w:r>
    </w:p>
    <w:p w:rsidR="006C6087" w:rsidRPr="0053454D" w:rsidRDefault="000D7DB9" w:rsidP="009D090C">
      <w:pPr>
        <w:spacing w:after="0" w:line="360" w:lineRule="auto"/>
        <w:jc w:val="both"/>
        <w:rPr>
          <w:rFonts w:ascii="Arial" w:hAnsi="Arial" w:cs="Arial"/>
        </w:rPr>
      </w:pPr>
      <w:r w:rsidRPr="0053454D">
        <w:rPr>
          <w:rFonts w:ascii="Arial" w:hAnsi="Arial" w:cs="Arial"/>
        </w:rPr>
        <w:t xml:space="preserve">Propiciar un espacio que permita el fortalecimiento de conceptos </w:t>
      </w:r>
      <w:r w:rsidR="005D1467" w:rsidRPr="0053454D">
        <w:rPr>
          <w:rFonts w:ascii="Arial" w:hAnsi="Arial" w:cs="Arial"/>
        </w:rPr>
        <w:t>y conocimiento de eventos SIVISTRA</w:t>
      </w:r>
      <w:r w:rsidR="00EE1645" w:rsidRPr="0053454D">
        <w:rPr>
          <w:rFonts w:ascii="Arial" w:hAnsi="Arial" w:cs="Arial"/>
        </w:rPr>
        <w:t xml:space="preserve"> - SISVESO</w:t>
      </w:r>
      <w:r w:rsidR="00563C43" w:rsidRPr="0053454D">
        <w:rPr>
          <w:rFonts w:ascii="Arial" w:hAnsi="Arial" w:cs="Arial"/>
        </w:rPr>
        <w:t xml:space="preserve"> </w:t>
      </w:r>
    </w:p>
    <w:p w:rsidR="002E0F74" w:rsidRPr="0053454D" w:rsidRDefault="002E0F74" w:rsidP="009D090C">
      <w:pPr>
        <w:spacing w:after="0" w:line="360" w:lineRule="auto"/>
        <w:jc w:val="both"/>
        <w:rPr>
          <w:rFonts w:ascii="Arial" w:hAnsi="Arial" w:cs="Arial"/>
          <w:b/>
        </w:rPr>
      </w:pPr>
    </w:p>
    <w:p w:rsidR="000D7DB9" w:rsidRPr="0053454D" w:rsidRDefault="000D7DB9" w:rsidP="009D090C">
      <w:pPr>
        <w:spacing w:after="0" w:line="360" w:lineRule="auto"/>
        <w:jc w:val="both"/>
        <w:rPr>
          <w:rFonts w:ascii="Arial" w:hAnsi="Arial" w:cs="Arial"/>
        </w:rPr>
      </w:pPr>
      <w:r w:rsidRPr="0053454D">
        <w:rPr>
          <w:rFonts w:ascii="Arial" w:hAnsi="Arial" w:cs="Arial"/>
          <w:b/>
        </w:rPr>
        <w:t>Metodología:</w:t>
      </w:r>
      <w:r w:rsidR="006C6087" w:rsidRPr="0053454D">
        <w:rPr>
          <w:rFonts w:ascii="Arial" w:hAnsi="Arial" w:cs="Arial"/>
        </w:rPr>
        <w:t xml:space="preserve"> </w:t>
      </w:r>
      <w:r w:rsidRPr="0053454D">
        <w:rPr>
          <w:rFonts w:ascii="Arial" w:hAnsi="Arial" w:cs="Arial"/>
        </w:rPr>
        <w:t>El desarrollo del COVE requirió de tres fases: preparación y gestión</w:t>
      </w:r>
      <w:r w:rsidR="005A1623" w:rsidRPr="0053454D">
        <w:rPr>
          <w:rFonts w:ascii="Arial" w:hAnsi="Arial" w:cs="Arial"/>
        </w:rPr>
        <w:t xml:space="preserve"> </w:t>
      </w:r>
      <w:r w:rsidRPr="0053454D">
        <w:rPr>
          <w:rFonts w:ascii="Arial" w:hAnsi="Arial" w:cs="Arial"/>
        </w:rPr>
        <w:t xml:space="preserve">de la información, en la cual se realizó un proceso de articulación </w:t>
      </w:r>
      <w:r w:rsidR="00EE1645" w:rsidRPr="0053454D">
        <w:rPr>
          <w:rFonts w:ascii="Arial" w:hAnsi="Arial" w:cs="Arial"/>
        </w:rPr>
        <w:t xml:space="preserve">de las </w:t>
      </w:r>
      <w:r w:rsidRPr="0053454D">
        <w:rPr>
          <w:rFonts w:ascii="Arial" w:hAnsi="Arial" w:cs="Arial"/>
        </w:rPr>
        <w:t>referente</w:t>
      </w:r>
      <w:r w:rsidR="00EE1645" w:rsidRPr="0053454D">
        <w:rPr>
          <w:rFonts w:ascii="Arial" w:hAnsi="Arial" w:cs="Arial"/>
        </w:rPr>
        <w:t>s</w:t>
      </w:r>
      <w:r w:rsidRPr="0053454D">
        <w:rPr>
          <w:rFonts w:ascii="Arial" w:hAnsi="Arial" w:cs="Arial"/>
        </w:rPr>
        <w:t xml:space="preserve"> responsable</w:t>
      </w:r>
      <w:r w:rsidR="00EE1645" w:rsidRPr="0053454D">
        <w:rPr>
          <w:rFonts w:ascii="Arial" w:hAnsi="Arial" w:cs="Arial"/>
        </w:rPr>
        <w:t>s</w:t>
      </w:r>
      <w:r w:rsidRPr="0053454D">
        <w:rPr>
          <w:rFonts w:ascii="Arial" w:hAnsi="Arial" w:cs="Arial"/>
        </w:rPr>
        <w:t xml:space="preserve"> de la</w:t>
      </w:r>
      <w:r w:rsidR="00EE1645" w:rsidRPr="0053454D">
        <w:rPr>
          <w:rFonts w:ascii="Arial" w:hAnsi="Arial" w:cs="Arial"/>
        </w:rPr>
        <w:t>s</w:t>
      </w:r>
      <w:r w:rsidRPr="0053454D">
        <w:rPr>
          <w:rFonts w:ascii="Arial" w:hAnsi="Arial" w:cs="Arial"/>
        </w:rPr>
        <w:t xml:space="preserve"> temática</w:t>
      </w:r>
      <w:r w:rsidR="00EE1645" w:rsidRPr="0053454D">
        <w:rPr>
          <w:rFonts w:ascii="Arial" w:hAnsi="Arial" w:cs="Arial"/>
        </w:rPr>
        <w:t>s</w:t>
      </w:r>
      <w:r w:rsidRPr="0053454D">
        <w:rPr>
          <w:rFonts w:ascii="Arial" w:hAnsi="Arial" w:cs="Arial"/>
        </w:rPr>
        <w:t xml:space="preserve"> central</w:t>
      </w:r>
      <w:r w:rsidR="00EE1645" w:rsidRPr="0053454D">
        <w:rPr>
          <w:rFonts w:ascii="Arial" w:hAnsi="Arial" w:cs="Arial"/>
        </w:rPr>
        <w:t>es</w:t>
      </w:r>
      <w:r w:rsidRPr="0053454D">
        <w:rPr>
          <w:rFonts w:ascii="Arial" w:hAnsi="Arial" w:cs="Arial"/>
        </w:rPr>
        <w:t xml:space="preserve"> e itinerante</w:t>
      </w:r>
      <w:r w:rsidR="00EE1645" w:rsidRPr="0053454D">
        <w:rPr>
          <w:rFonts w:ascii="Arial" w:hAnsi="Arial" w:cs="Arial"/>
        </w:rPr>
        <w:t>s</w:t>
      </w:r>
      <w:r w:rsidRPr="0053454D">
        <w:rPr>
          <w:rFonts w:ascii="Arial" w:hAnsi="Arial" w:cs="Arial"/>
        </w:rPr>
        <w:t>; la segunda fase correspondió al análisis de la información, en el cual se elaboró el informe del COVE. Finalmente la fase de divulgación, en la cual se procedió a la   publicación del informe y los soportes del espacio en el link: http://www.subrednorte.gov.co/?q=content/informes-localidad</w:t>
      </w:r>
    </w:p>
    <w:p w:rsidR="000D7DB9" w:rsidRPr="0053454D" w:rsidRDefault="000D7DB9" w:rsidP="009D090C">
      <w:pPr>
        <w:spacing w:after="0" w:line="360" w:lineRule="auto"/>
        <w:jc w:val="both"/>
        <w:rPr>
          <w:rFonts w:ascii="Arial" w:hAnsi="Arial" w:cs="Arial"/>
        </w:rPr>
      </w:pPr>
    </w:p>
    <w:p w:rsidR="002E0F74" w:rsidRPr="0053454D" w:rsidRDefault="000D7DB9" w:rsidP="009D090C">
      <w:pPr>
        <w:spacing w:after="0" w:line="360" w:lineRule="auto"/>
        <w:jc w:val="both"/>
        <w:rPr>
          <w:rFonts w:ascii="Arial" w:hAnsi="Arial" w:cs="Arial"/>
        </w:rPr>
      </w:pPr>
      <w:r w:rsidRPr="0053454D">
        <w:rPr>
          <w:rFonts w:ascii="Arial" w:hAnsi="Arial" w:cs="Arial"/>
        </w:rPr>
        <w:lastRenderedPageBreak/>
        <w:t>Durante el desarrollo del COVE se realizaron presentaciones de forma magistral por cada una de las intervenciones previstas, mediante la presentación de diapositivas e interactuando con los asistentes a partir de la proyección de imágenes; El espacio de análisis de</w:t>
      </w:r>
      <w:r w:rsidR="00EE1645" w:rsidRPr="0053454D">
        <w:rPr>
          <w:rFonts w:ascii="Arial" w:hAnsi="Arial" w:cs="Arial"/>
        </w:rPr>
        <w:t xml:space="preserve"> </w:t>
      </w:r>
      <w:r w:rsidRPr="0053454D">
        <w:rPr>
          <w:rFonts w:ascii="Arial" w:hAnsi="Arial" w:cs="Arial"/>
        </w:rPr>
        <w:t>l</w:t>
      </w:r>
      <w:r w:rsidR="00EE1645" w:rsidRPr="0053454D">
        <w:rPr>
          <w:rFonts w:ascii="Arial" w:hAnsi="Arial" w:cs="Arial"/>
        </w:rPr>
        <w:t>os</w:t>
      </w:r>
      <w:r w:rsidRPr="0053454D">
        <w:rPr>
          <w:rFonts w:ascii="Arial" w:hAnsi="Arial" w:cs="Arial"/>
        </w:rPr>
        <w:t xml:space="preserve"> tema</w:t>
      </w:r>
      <w:r w:rsidR="00EE1645" w:rsidRPr="0053454D">
        <w:rPr>
          <w:rFonts w:ascii="Arial" w:hAnsi="Arial" w:cs="Arial"/>
        </w:rPr>
        <w:t>s</w:t>
      </w:r>
      <w:r w:rsidRPr="0053454D">
        <w:rPr>
          <w:rFonts w:ascii="Arial" w:hAnsi="Arial" w:cs="Arial"/>
        </w:rPr>
        <w:t xml:space="preserve"> central</w:t>
      </w:r>
      <w:r w:rsidR="002E0F74" w:rsidRPr="0053454D">
        <w:rPr>
          <w:rFonts w:ascii="Arial" w:hAnsi="Arial" w:cs="Arial"/>
        </w:rPr>
        <w:t>es</w:t>
      </w:r>
      <w:r w:rsidRPr="0053454D">
        <w:rPr>
          <w:rFonts w:ascii="Arial" w:hAnsi="Arial" w:cs="Arial"/>
        </w:rPr>
        <w:t xml:space="preserve">, se desarrolló mediante </w:t>
      </w:r>
      <w:r w:rsidR="002E0F74" w:rsidRPr="0053454D">
        <w:rPr>
          <w:rFonts w:ascii="Arial" w:hAnsi="Arial" w:cs="Arial"/>
        </w:rPr>
        <w:t xml:space="preserve">conceptos básicos de cada subsistema SIVISTRA - SISVESO y </w:t>
      </w:r>
      <w:r w:rsidR="00EE1645" w:rsidRPr="0053454D">
        <w:rPr>
          <w:rFonts w:ascii="Arial" w:hAnsi="Arial" w:cs="Arial"/>
        </w:rPr>
        <w:t xml:space="preserve">promover </w:t>
      </w:r>
      <w:r w:rsidRPr="0053454D">
        <w:rPr>
          <w:rFonts w:ascii="Arial" w:hAnsi="Arial" w:cs="Arial"/>
        </w:rPr>
        <w:t>la notificación</w:t>
      </w:r>
      <w:r w:rsidR="002E0F74" w:rsidRPr="0053454D">
        <w:rPr>
          <w:rFonts w:ascii="Arial" w:hAnsi="Arial" w:cs="Arial"/>
        </w:rPr>
        <w:t xml:space="preserve"> desde las UPGDs.</w:t>
      </w:r>
    </w:p>
    <w:p w:rsidR="000D7DB9" w:rsidRPr="0053454D" w:rsidRDefault="000D7DB9" w:rsidP="009D090C">
      <w:pPr>
        <w:spacing w:after="0" w:line="360" w:lineRule="auto"/>
        <w:jc w:val="both"/>
        <w:rPr>
          <w:rFonts w:ascii="Arial" w:hAnsi="Arial" w:cs="Arial"/>
        </w:rPr>
      </w:pPr>
      <w:r w:rsidRPr="0053454D">
        <w:rPr>
          <w:rFonts w:ascii="Arial" w:hAnsi="Arial" w:cs="Arial"/>
        </w:rPr>
        <w:t xml:space="preserve"> </w:t>
      </w:r>
    </w:p>
    <w:p w:rsidR="000D7DB9" w:rsidRPr="0053454D" w:rsidRDefault="000D7DB9" w:rsidP="009D090C">
      <w:pPr>
        <w:spacing w:after="0" w:line="360" w:lineRule="auto"/>
        <w:jc w:val="both"/>
        <w:rPr>
          <w:rFonts w:ascii="Arial" w:hAnsi="Arial" w:cs="Arial"/>
          <w:b/>
        </w:rPr>
      </w:pPr>
      <w:r w:rsidRPr="0053454D">
        <w:rPr>
          <w:rFonts w:ascii="Arial" w:hAnsi="Arial" w:cs="Arial"/>
          <w:b/>
        </w:rPr>
        <w:t>Número de Participantes:</w:t>
      </w:r>
    </w:p>
    <w:p w:rsidR="00563C43" w:rsidRPr="0053454D" w:rsidRDefault="000D7DB9" w:rsidP="009D090C">
      <w:pPr>
        <w:spacing w:after="0" w:line="360" w:lineRule="auto"/>
        <w:jc w:val="both"/>
        <w:rPr>
          <w:rFonts w:ascii="Arial" w:hAnsi="Arial" w:cs="Arial"/>
        </w:rPr>
      </w:pPr>
      <w:r w:rsidRPr="0053454D">
        <w:rPr>
          <w:rFonts w:ascii="Arial" w:hAnsi="Arial" w:cs="Arial"/>
        </w:rPr>
        <w:t xml:space="preserve">Se contó con un total de asistentes </w:t>
      </w:r>
      <w:r w:rsidR="00191B71">
        <w:rPr>
          <w:rFonts w:ascii="Arial" w:hAnsi="Arial" w:cs="Arial"/>
        </w:rPr>
        <w:t>50</w:t>
      </w:r>
      <w:r w:rsidRPr="0053454D">
        <w:rPr>
          <w:rFonts w:ascii="Arial" w:hAnsi="Arial" w:cs="Arial"/>
        </w:rPr>
        <w:t xml:space="preserve"> representantes de las Unidades Primarias Generadoras de Datos –UPGD y </w:t>
      </w:r>
      <w:r w:rsidR="00456EBD" w:rsidRPr="0053454D">
        <w:rPr>
          <w:rFonts w:ascii="Arial" w:hAnsi="Arial" w:cs="Arial"/>
        </w:rPr>
        <w:t>6</w:t>
      </w:r>
      <w:r w:rsidRPr="0053454D">
        <w:rPr>
          <w:rFonts w:ascii="Arial" w:hAnsi="Arial" w:cs="Arial"/>
        </w:rPr>
        <w:t xml:space="preserve"> funcionarios de la Subred Integrada de Servicios de Salud Norte E.S.E.</w:t>
      </w:r>
    </w:p>
    <w:p w:rsidR="000D7DB9" w:rsidRPr="0053454D" w:rsidRDefault="000D7DB9" w:rsidP="009D090C">
      <w:pPr>
        <w:spacing w:after="0" w:line="360" w:lineRule="auto"/>
        <w:jc w:val="both"/>
        <w:rPr>
          <w:rFonts w:ascii="Arial" w:hAnsi="Arial" w:cs="Arial"/>
          <w:b/>
        </w:rPr>
      </w:pPr>
      <w:r w:rsidRPr="0053454D">
        <w:rPr>
          <w:rFonts w:ascii="Arial" w:hAnsi="Arial" w:cs="Arial"/>
          <w:b/>
        </w:rPr>
        <w:t>Caracterización de los Participantes:</w:t>
      </w:r>
    </w:p>
    <w:p w:rsidR="000D7DB9" w:rsidRPr="0053454D" w:rsidRDefault="000D7DB9" w:rsidP="009D090C">
      <w:pPr>
        <w:spacing w:after="0" w:line="360" w:lineRule="auto"/>
        <w:jc w:val="both"/>
        <w:rPr>
          <w:rFonts w:ascii="Arial" w:hAnsi="Arial" w:cs="Arial"/>
        </w:rPr>
      </w:pPr>
      <w:r w:rsidRPr="0053454D">
        <w:rPr>
          <w:rFonts w:ascii="Arial" w:hAnsi="Arial" w:cs="Arial"/>
        </w:rPr>
        <w:t xml:space="preserve">La población asistente al COVE estuvo compuesta por profesionales del área de la salud como representantes de las UPGD y colaboradores de la Subred Norte E.S.E. </w:t>
      </w:r>
    </w:p>
    <w:p w:rsidR="00245589" w:rsidRPr="0053454D" w:rsidRDefault="00245589" w:rsidP="009D090C">
      <w:pPr>
        <w:spacing w:after="0" w:line="360" w:lineRule="auto"/>
        <w:jc w:val="both"/>
        <w:rPr>
          <w:rFonts w:ascii="Arial" w:hAnsi="Arial" w:cs="Arial"/>
        </w:rPr>
      </w:pPr>
    </w:p>
    <w:p w:rsidR="00245589" w:rsidRPr="0053454D" w:rsidRDefault="00245589" w:rsidP="009D090C">
      <w:pPr>
        <w:spacing w:after="0" w:line="360" w:lineRule="auto"/>
        <w:jc w:val="both"/>
        <w:rPr>
          <w:rFonts w:ascii="Arial" w:hAnsi="Arial" w:cs="Arial"/>
        </w:rPr>
      </w:pPr>
    </w:p>
    <w:p w:rsidR="00423252" w:rsidRPr="0053454D" w:rsidRDefault="00423252" w:rsidP="009D090C">
      <w:pPr>
        <w:spacing w:after="0" w:line="360" w:lineRule="auto"/>
        <w:jc w:val="both"/>
        <w:rPr>
          <w:rFonts w:ascii="Arial" w:hAnsi="Arial" w:cs="Arial"/>
          <w:b/>
        </w:rPr>
      </w:pPr>
      <w:r w:rsidRPr="0053454D">
        <w:rPr>
          <w:rFonts w:ascii="Arial" w:hAnsi="Arial" w:cs="Arial"/>
          <w:b/>
        </w:rPr>
        <w:t>DESARROLLO DEL COVE</w:t>
      </w:r>
    </w:p>
    <w:p w:rsidR="00423252" w:rsidRPr="0053454D" w:rsidRDefault="00423252" w:rsidP="009D090C">
      <w:pPr>
        <w:spacing w:after="0" w:line="360" w:lineRule="auto"/>
        <w:jc w:val="both"/>
        <w:rPr>
          <w:rFonts w:ascii="Arial" w:hAnsi="Arial" w:cs="Arial"/>
        </w:rPr>
      </w:pPr>
    </w:p>
    <w:p w:rsidR="000D7DB9" w:rsidRPr="0053454D" w:rsidRDefault="00423252" w:rsidP="009D090C">
      <w:pPr>
        <w:numPr>
          <w:ilvl w:val="0"/>
          <w:numId w:val="24"/>
        </w:numPr>
        <w:suppressAutoHyphens/>
        <w:spacing w:after="200" w:line="360" w:lineRule="auto"/>
        <w:jc w:val="both"/>
        <w:rPr>
          <w:rFonts w:ascii="Arial" w:hAnsi="Arial" w:cs="Arial"/>
          <w:b/>
          <w:bCs/>
        </w:rPr>
      </w:pPr>
      <w:r w:rsidRPr="0053454D">
        <w:rPr>
          <w:rFonts w:ascii="Arial" w:hAnsi="Arial" w:cs="Arial"/>
          <w:b/>
          <w:bCs/>
        </w:rPr>
        <w:t>Instalación Comité de Vigilancia Epidemiológica Lectura Acta anterior.</w:t>
      </w:r>
    </w:p>
    <w:p w:rsidR="000D7DB9" w:rsidRPr="0053454D" w:rsidRDefault="000D7DB9" w:rsidP="009D090C">
      <w:pPr>
        <w:autoSpaceDE w:val="0"/>
        <w:spacing w:after="0" w:line="360" w:lineRule="auto"/>
        <w:jc w:val="both"/>
        <w:rPr>
          <w:rFonts w:ascii="Arial" w:hAnsi="Arial" w:cs="Arial"/>
        </w:rPr>
      </w:pPr>
      <w:r w:rsidRPr="0053454D">
        <w:rPr>
          <w:rFonts w:ascii="Arial" w:hAnsi="Arial" w:cs="Arial"/>
          <w:bCs/>
          <w:lang w:eastAsia="es-CO"/>
        </w:rPr>
        <w:t xml:space="preserve">La reunión se inició con la Instalación del COVE, donde se presentó </w:t>
      </w:r>
      <w:r w:rsidRPr="0053454D">
        <w:rPr>
          <w:rFonts w:ascii="Arial" w:hAnsi="Arial" w:cs="Arial"/>
          <w:lang w:eastAsia="es-CO"/>
        </w:rPr>
        <w:t>la agenda del día, metodología de trabajo para la Sesión.  Se realiza lectura  el acta anterior, para esta última no existen sugerencias y se aprueba el acta.</w:t>
      </w:r>
      <w:r w:rsidR="00245589" w:rsidRPr="0053454D">
        <w:rPr>
          <w:rFonts w:ascii="Arial" w:hAnsi="Arial" w:cs="Arial"/>
          <w:lang w:eastAsia="es-CO"/>
        </w:rPr>
        <w:t xml:space="preserve"> Se hace la introducción de todos os temas y se hace presentación de los participantes.</w:t>
      </w:r>
    </w:p>
    <w:p w:rsidR="00B22A43" w:rsidRPr="0053454D" w:rsidRDefault="00B22A43" w:rsidP="009D090C">
      <w:pPr>
        <w:pStyle w:val="Prrafodelista"/>
        <w:spacing w:after="0" w:line="360" w:lineRule="auto"/>
        <w:ind w:left="360"/>
        <w:jc w:val="both"/>
        <w:rPr>
          <w:rFonts w:ascii="Arial" w:hAnsi="Arial" w:cs="Arial"/>
          <w:b/>
        </w:rPr>
      </w:pPr>
    </w:p>
    <w:p w:rsidR="00245589" w:rsidRPr="0053454D" w:rsidRDefault="00245589" w:rsidP="009D090C">
      <w:pPr>
        <w:pStyle w:val="Prrafodelista"/>
        <w:spacing w:after="0" w:line="360" w:lineRule="auto"/>
        <w:ind w:left="360"/>
        <w:jc w:val="both"/>
        <w:rPr>
          <w:rFonts w:ascii="Arial" w:hAnsi="Arial" w:cs="Arial"/>
          <w:b/>
        </w:rPr>
      </w:pPr>
    </w:p>
    <w:p w:rsidR="00245589" w:rsidRPr="0053454D" w:rsidRDefault="00245589" w:rsidP="009D090C">
      <w:pPr>
        <w:pStyle w:val="Prrafodelista"/>
        <w:spacing w:after="0" w:line="360" w:lineRule="auto"/>
        <w:ind w:left="360"/>
        <w:jc w:val="both"/>
        <w:rPr>
          <w:rFonts w:ascii="Arial" w:hAnsi="Arial" w:cs="Arial"/>
          <w:b/>
        </w:rPr>
      </w:pPr>
    </w:p>
    <w:p w:rsidR="00245589" w:rsidRPr="0053454D" w:rsidRDefault="00245589" w:rsidP="009D090C">
      <w:pPr>
        <w:pStyle w:val="Prrafodelista"/>
        <w:spacing w:after="0" w:line="360" w:lineRule="auto"/>
        <w:ind w:left="360"/>
        <w:jc w:val="both"/>
        <w:rPr>
          <w:rFonts w:ascii="Arial" w:hAnsi="Arial" w:cs="Arial"/>
          <w:b/>
        </w:rPr>
      </w:pPr>
    </w:p>
    <w:p w:rsidR="00C658B2" w:rsidRPr="0053454D" w:rsidRDefault="0001167D" w:rsidP="009D090C">
      <w:pPr>
        <w:pStyle w:val="Prrafodelista"/>
        <w:numPr>
          <w:ilvl w:val="0"/>
          <w:numId w:val="24"/>
        </w:numPr>
        <w:suppressAutoHyphens/>
        <w:spacing w:after="0" w:line="360" w:lineRule="auto"/>
        <w:jc w:val="both"/>
        <w:rPr>
          <w:rFonts w:ascii="Arial" w:hAnsi="Arial" w:cs="Arial"/>
          <w:b/>
        </w:rPr>
      </w:pPr>
      <w:r w:rsidRPr="0053454D">
        <w:rPr>
          <w:rFonts w:ascii="Arial" w:hAnsi="Arial" w:cs="Arial"/>
          <w:b/>
        </w:rPr>
        <w:t>Introducción SIVISTRA (Subsistema de Vigilancia Epidemiológica para trabajadores del sector informal) - Sustancias Químicas en el sector informal y sus afecciones a la Salud.</w:t>
      </w:r>
      <w:r w:rsidR="00C658B2" w:rsidRPr="0053454D">
        <w:rPr>
          <w:rFonts w:ascii="Arial" w:hAnsi="Arial" w:cs="Arial"/>
        </w:rPr>
        <w:t xml:space="preserve"> </w:t>
      </w:r>
    </w:p>
    <w:p w:rsidR="0001167D" w:rsidRPr="0053454D" w:rsidRDefault="0001167D" w:rsidP="009D090C">
      <w:pPr>
        <w:pStyle w:val="Sinespaciado"/>
        <w:spacing w:line="360" w:lineRule="auto"/>
        <w:jc w:val="both"/>
        <w:rPr>
          <w:rFonts w:ascii="Arial" w:eastAsiaTheme="minorHAnsi" w:hAnsi="Arial" w:cs="Arial"/>
          <w:bCs/>
          <w:sz w:val="22"/>
          <w:szCs w:val="22"/>
          <w:lang w:eastAsia="en-US"/>
        </w:rPr>
      </w:pPr>
      <w:r w:rsidRPr="0053454D">
        <w:rPr>
          <w:rFonts w:ascii="Arial" w:eastAsiaTheme="minorHAnsi" w:hAnsi="Arial" w:cs="Arial"/>
          <w:bCs/>
          <w:sz w:val="22"/>
          <w:szCs w:val="22"/>
          <w:lang w:eastAsia="en-US"/>
        </w:rPr>
        <w:t>Se inicia intervención por parte del Subsistema SIVISTRA donde se socializa el sistema de vigilancia epidemiológica ocupacional de  los trabajadores de la economía informal, partiendo de especificar que los trabajadores informales se caracterizan porque no cuentan con administradora de riesgos laborales</w:t>
      </w:r>
      <w:r w:rsidR="006D2F63" w:rsidRPr="0053454D">
        <w:rPr>
          <w:rFonts w:ascii="Arial" w:eastAsiaTheme="minorHAnsi" w:hAnsi="Arial" w:cs="Arial"/>
          <w:bCs/>
          <w:sz w:val="22"/>
          <w:szCs w:val="22"/>
          <w:lang w:eastAsia="en-US"/>
        </w:rPr>
        <w:t xml:space="preserve"> </w:t>
      </w:r>
      <w:r w:rsidRPr="0053454D">
        <w:rPr>
          <w:rFonts w:ascii="Arial" w:eastAsiaTheme="minorHAnsi" w:hAnsi="Arial" w:cs="Arial"/>
          <w:bCs/>
          <w:sz w:val="22"/>
          <w:szCs w:val="22"/>
          <w:lang w:eastAsia="en-US"/>
        </w:rPr>
        <w:t xml:space="preserve">(ARL) y pueden pertenecer al régimen contributivo y/o subsidiado. Se plantea objetivo general el cual es proveer información de forma permanente, sistemática y oportuna para la generación de indicadores que permitan definir el perfil epidemiológico derivado de las </w:t>
      </w:r>
      <w:r w:rsidRPr="0053454D">
        <w:rPr>
          <w:rFonts w:ascii="Arial" w:eastAsiaTheme="minorHAnsi" w:hAnsi="Arial" w:cs="Arial"/>
          <w:bCs/>
          <w:sz w:val="22"/>
          <w:szCs w:val="22"/>
          <w:lang w:eastAsia="en-US"/>
        </w:rPr>
        <w:lastRenderedPageBreak/>
        <w:t>condiciones de trabajo en el sector informal de la economía del distrito capital, como insumo para la generación o fortalecimiento de políticas orientadas a promover la restitución de derechos y garantías sociales inherentes al trabajo y prevenir daños a la vida y salud de los trabajadores. Dentro de los objetivos específicos se define fomentar la notificación y calificación de los eventos en salud relacionados con el trabajo identificados por las UPGD (Unidades Primarias Generadoras de Datos) IPS públicas y privadas; Investigar Accidentes de Trabajo y Enfermedades Laborales e identificar el perfil patológico derivado de condiciones de trabajo. Las profesionales especializadas en salud ocupacional mencionan las localidades de la subred norte donde actualmente realizan proceso de SIVISTRA teniendo en cuenta notificaciones por parte de las UPGDs, reporte desde el equipo de espacio de tra</w:t>
      </w:r>
      <w:r w:rsidR="006D2F63" w:rsidRPr="0053454D">
        <w:rPr>
          <w:rFonts w:ascii="Arial" w:eastAsiaTheme="minorHAnsi" w:hAnsi="Arial" w:cs="Arial"/>
          <w:bCs/>
          <w:sz w:val="22"/>
          <w:szCs w:val="22"/>
          <w:lang w:eastAsia="en-US"/>
        </w:rPr>
        <w:t>bajo y búsqueda activa en campo</w:t>
      </w:r>
      <w:r w:rsidRPr="0053454D">
        <w:rPr>
          <w:rFonts w:ascii="Arial" w:eastAsiaTheme="minorHAnsi" w:hAnsi="Arial" w:cs="Arial"/>
          <w:bCs/>
          <w:sz w:val="22"/>
          <w:szCs w:val="22"/>
          <w:lang w:eastAsia="en-US"/>
        </w:rPr>
        <w:t xml:space="preserve"> según criterio de priorización establecido </w:t>
      </w:r>
      <w:r w:rsidR="006D2F63" w:rsidRPr="0053454D">
        <w:rPr>
          <w:rFonts w:ascii="Arial" w:eastAsiaTheme="minorHAnsi" w:hAnsi="Arial" w:cs="Arial"/>
          <w:bCs/>
          <w:sz w:val="22"/>
          <w:szCs w:val="22"/>
          <w:lang w:eastAsia="en-US"/>
        </w:rPr>
        <w:t xml:space="preserve">en los lineamientos emitidos por la Secretaria Distrital de Salud – SDS direccionados por la </w:t>
      </w:r>
      <w:r w:rsidRPr="0053454D">
        <w:rPr>
          <w:rFonts w:ascii="Arial" w:eastAsiaTheme="minorHAnsi" w:hAnsi="Arial" w:cs="Arial"/>
          <w:bCs/>
          <w:sz w:val="22"/>
          <w:szCs w:val="22"/>
          <w:lang w:eastAsia="en-US"/>
        </w:rPr>
        <w:t xml:space="preserve">referente </w:t>
      </w:r>
      <w:r w:rsidR="006D2F63" w:rsidRPr="0053454D">
        <w:rPr>
          <w:rFonts w:ascii="Arial" w:eastAsiaTheme="minorHAnsi" w:hAnsi="Arial" w:cs="Arial"/>
          <w:bCs/>
          <w:sz w:val="22"/>
          <w:szCs w:val="22"/>
          <w:lang w:eastAsia="en-US"/>
        </w:rPr>
        <w:t>Doctora Graciela Holguí</w:t>
      </w:r>
      <w:r w:rsidRPr="0053454D">
        <w:rPr>
          <w:rFonts w:ascii="Arial" w:eastAsiaTheme="minorHAnsi" w:hAnsi="Arial" w:cs="Arial"/>
          <w:bCs/>
          <w:sz w:val="22"/>
          <w:szCs w:val="22"/>
          <w:lang w:eastAsia="en-US"/>
        </w:rPr>
        <w:t xml:space="preserve">n. Dentro del marco legal la secretaria de salud expidió la circular 002 de 2014 donde se exhorta al conjunto de Instituciones Prestadoras de Servicios de Salud – IPS y a las Empresas Sociales del Estado – ESE, a asumir su responsabilidad y compromiso de notificación de los eventos de interés en salud pública relacionados con las condiciones laborales de la población de la economía informal de la ciudad, referidos a accidentes de trabajo, enfermedades laborales y muertes laborales. </w:t>
      </w:r>
    </w:p>
    <w:p w:rsidR="0001167D" w:rsidRPr="0053454D" w:rsidRDefault="0001167D" w:rsidP="009D090C">
      <w:pPr>
        <w:spacing w:line="360" w:lineRule="auto"/>
        <w:jc w:val="both"/>
        <w:rPr>
          <w:rFonts w:ascii="Arial" w:hAnsi="Arial" w:cs="Arial"/>
          <w:bCs/>
          <w:lang w:val="es-CO"/>
        </w:rPr>
      </w:pPr>
      <w:r w:rsidRPr="0053454D">
        <w:rPr>
          <w:rFonts w:ascii="Arial" w:hAnsi="Arial" w:cs="Arial"/>
          <w:bCs/>
          <w:lang w:val="es-CO"/>
        </w:rPr>
        <w:t>Se contextualiza a los participantes en cuanto a eventos ocupacionales relacionados con accidente de trabajo, enfermedad laboral y condiciones peligrosas asociadas a riesgo químico por exposición en el entorno laboral.</w:t>
      </w:r>
    </w:p>
    <w:p w:rsidR="0001167D" w:rsidRPr="0053454D" w:rsidRDefault="0001167D" w:rsidP="009D090C">
      <w:pPr>
        <w:spacing w:line="360" w:lineRule="auto"/>
        <w:jc w:val="both"/>
        <w:rPr>
          <w:rFonts w:ascii="Arial" w:hAnsi="Arial" w:cs="Arial"/>
          <w:bCs/>
          <w:lang w:val="es-CO"/>
        </w:rPr>
      </w:pPr>
      <w:r w:rsidRPr="0053454D">
        <w:rPr>
          <w:rFonts w:ascii="Arial" w:hAnsi="Arial" w:cs="Arial"/>
          <w:bCs/>
          <w:lang w:val="es-CO"/>
        </w:rPr>
        <w:t xml:space="preserve">Se mencionan los criterios de inclusión dentro de los cuales, como se expresó anteriormente, el trabajador no debe contar con administradora de riesgos laborales, en caso de accidente, este debe haber ocurrido máximo un año antes de su notificación e ingreso al subsistema y en caso de enfermedad o manifestación clínica, los síntomas referidos deben haber permanecido por lo menos durante un mes. </w:t>
      </w:r>
    </w:p>
    <w:p w:rsidR="006D2F63" w:rsidRPr="0053454D" w:rsidRDefault="0001167D" w:rsidP="009D090C">
      <w:pPr>
        <w:spacing w:line="360" w:lineRule="auto"/>
        <w:jc w:val="both"/>
        <w:rPr>
          <w:rFonts w:ascii="Arial" w:hAnsi="Arial" w:cs="Arial"/>
          <w:bCs/>
          <w:lang w:val="es-CO"/>
        </w:rPr>
      </w:pPr>
      <w:r w:rsidRPr="0053454D">
        <w:rPr>
          <w:rFonts w:ascii="Arial" w:hAnsi="Arial" w:cs="Arial"/>
          <w:bCs/>
          <w:lang w:val="es-CO"/>
        </w:rPr>
        <w:t xml:space="preserve">Dentro de los criterios de priorización según condición o patología se encuentran las afecciones respiratorias crónicas (alérgicas, irritativas, restrictivas u obstructivas), dermatitis, cáncer y manifestaciones clínicas generales tales como cefalea, vértigo, hipoacusia, pérdida de equilibrio, alteraciones neuromotoras y de sensibilidad, o cualquier otra sintomatología que pueda estar asociada a la exposición a sustancias químicas. La actividad económica también es otra forma de clasificación para la priorización ya que un trabajador que labore en industrias madereras, cueros, metalúrgica, metalmecánica, artes gráficas, agricultura, marmolería, peluquería y fabricación de productos químicos, se encuentra en alto riesgo de presentar problemas </w:t>
      </w:r>
      <w:r w:rsidRPr="0053454D">
        <w:rPr>
          <w:rFonts w:ascii="Arial" w:hAnsi="Arial" w:cs="Arial"/>
          <w:bCs/>
          <w:lang w:val="es-CO"/>
        </w:rPr>
        <w:lastRenderedPageBreak/>
        <w:t>de salud derivadas de la exposición a agentes tóxicos. De la misma forma, las lesiones traumáticas moderadas o severas derivadas de accidentes se tendrán en cuenta como evento ocupacional para ser investigado por el equipo SIVISTRA. Para finalizar la introducción del subsistema, se socializa ficha de notificación (datos básicos requeridos) y correo (</w:t>
      </w:r>
      <w:proofErr w:type="spellStart"/>
      <w:r w:rsidRPr="0053454D">
        <w:rPr>
          <w:rFonts w:ascii="Arial" w:hAnsi="Arial" w:cs="Arial"/>
          <w:bCs/>
          <w:lang w:val="es-CO"/>
        </w:rPr>
        <w:t>sivistra.norte</w:t>
      </w:r>
      <w:proofErr w:type="spellEnd"/>
      <w:r w:rsidRPr="0053454D">
        <w:rPr>
          <w:rFonts w:ascii="Arial" w:hAnsi="Arial" w:cs="Arial"/>
          <w:bCs/>
          <w:lang w:val="es-CO"/>
        </w:rPr>
        <w:t xml:space="preserve"> @gmail.com) institucional al cual deben llegar las fichas escaneadas de los probables eventos ocupacionales identificados por las instituciones de salud.</w:t>
      </w:r>
    </w:p>
    <w:p w:rsidR="00C658B2" w:rsidRPr="0053454D" w:rsidRDefault="00C658B2" w:rsidP="009D090C">
      <w:pPr>
        <w:spacing w:line="360" w:lineRule="auto"/>
        <w:jc w:val="both"/>
        <w:rPr>
          <w:rFonts w:ascii="Arial" w:hAnsi="Arial" w:cs="Arial"/>
        </w:rPr>
      </w:pPr>
      <w:r w:rsidRPr="0053454D">
        <w:rPr>
          <w:rFonts w:ascii="Arial" w:hAnsi="Arial" w:cs="Arial"/>
        </w:rPr>
        <w:t xml:space="preserve">Se realiza  pausa activa por medio de ejercicios de gimnasia cerebral llamado abecedario donde los participantes deben coordinar  de forma simultánea y bilateral de ciertos movimientos a nivel de miembros superiores e inferiores direccionados por la profesional especialista SIVISTRA. </w:t>
      </w:r>
    </w:p>
    <w:p w:rsidR="0001167D" w:rsidRPr="0053454D" w:rsidRDefault="00AA4E51" w:rsidP="009D090C">
      <w:pPr>
        <w:spacing w:line="360" w:lineRule="auto"/>
        <w:jc w:val="both"/>
        <w:rPr>
          <w:rFonts w:ascii="Arial" w:hAnsi="Arial" w:cs="Arial"/>
          <w:b/>
          <w:bCs/>
          <w:lang w:val="es-CO"/>
        </w:rPr>
      </w:pPr>
      <w:r w:rsidRPr="0053454D">
        <w:rPr>
          <w:rFonts w:ascii="Arial" w:hAnsi="Arial" w:cs="Arial"/>
          <w:bCs/>
          <w:lang w:val="es-CO"/>
        </w:rPr>
        <w:t xml:space="preserve">Se continua </w:t>
      </w:r>
      <w:r w:rsidR="0001167D" w:rsidRPr="0053454D">
        <w:rPr>
          <w:rFonts w:ascii="Arial" w:hAnsi="Arial" w:cs="Arial"/>
          <w:bCs/>
          <w:lang w:val="es-CO"/>
        </w:rPr>
        <w:t>socialización sobre el tema, sustancias químicas en el sector informal y sus afecciones a la salud donde</w:t>
      </w:r>
      <w:r w:rsidRPr="0053454D">
        <w:rPr>
          <w:rFonts w:ascii="Arial" w:hAnsi="Arial" w:cs="Arial"/>
          <w:bCs/>
          <w:lang w:val="es-CO"/>
        </w:rPr>
        <w:t xml:space="preserve"> se</w:t>
      </w:r>
      <w:r w:rsidR="0001167D" w:rsidRPr="0053454D">
        <w:rPr>
          <w:rFonts w:ascii="Arial" w:hAnsi="Arial" w:cs="Arial"/>
          <w:bCs/>
          <w:lang w:val="es-CO"/>
        </w:rPr>
        <w:t xml:space="preserve"> inicia mencionando que la epidemiología ocupacional aplica los métodos epidemiológicos en poblaciones trabajadoras y con énfasis en el estudio del ambiente ocupacional, esto con el fin de determinar si la exposición a una variedad de agentes (físicos, químicos, biológicos, biomecánicos y psicosociales) resulta en un efecto adverso a la salud. No es una simple recolección de datos sobre grupos de individuos. Se debe utilizar estos datos para proyectar o modificar la política de prevención de riesgos y los programas de intervención. Refiere que el decreto 1477 de 2014 por el cual se expide la tabla de enfermedades laborales establece agentes de riesgo y su relación con grupo de enfermedades de la siguiente manera: </w:t>
      </w:r>
    </w:p>
    <w:p w:rsidR="002F0088" w:rsidRPr="0053454D" w:rsidRDefault="00103E6F" w:rsidP="009D090C">
      <w:pPr>
        <w:spacing w:line="360" w:lineRule="auto"/>
        <w:jc w:val="both"/>
        <w:rPr>
          <w:rFonts w:ascii="Arial" w:hAnsi="Arial" w:cs="Arial"/>
          <w:b/>
          <w:bCs/>
          <w:lang w:val="es-CO"/>
        </w:rPr>
      </w:pPr>
      <w:r w:rsidRPr="0053454D">
        <w:rPr>
          <w:rFonts w:ascii="Arial" w:hAnsi="Arial" w:cs="Arial"/>
          <w:b/>
          <w:bCs/>
          <w:lang w:val="es-CO"/>
        </w:rPr>
        <w:t>Figura 1.</w:t>
      </w:r>
      <w:r w:rsidR="002F0088" w:rsidRPr="0053454D">
        <w:rPr>
          <w:rFonts w:ascii="Arial" w:hAnsi="Arial" w:cs="Arial"/>
          <w:b/>
          <w:bCs/>
          <w:lang w:val="es-CO"/>
        </w:rPr>
        <w:t xml:space="preserve"> Enfermedades Laborales con relación a riesgo químico.</w:t>
      </w:r>
    </w:p>
    <w:p w:rsidR="0001167D" w:rsidRPr="0053454D" w:rsidRDefault="006D2F63" w:rsidP="009D090C">
      <w:pPr>
        <w:spacing w:after="0" w:line="360" w:lineRule="auto"/>
        <w:jc w:val="both"/>
        <w:rPr>
          <w:rFonts w:ascii="Arial" w:hAnsi="Arial" w:cs="Arial"/>
        </w:rPr>
      </w:pPr>
      <w:r w:rsidRPr="0053454D">
        <w:rPr>
          <w:rFonts w:ascii="Arial" w:hAnsi="Arial" w:cs="Arial"/>
        </w:rPr>
        <w:object w:dxaOrig="13410" w:dyaOrig="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75pt;height:162.85pt" o:ole="">
            <v:imagedata r:id="rId12" o:title=""/>
          </v:shape>
          <o:OLEObject Type="Embed" ProgID="PBrush" ShapeID="_x0000_i1025" DrawAspect="Content" ObjectID="_1582217973" r:id="rId13"/>
        </w:object>
      </w:r>
    </w:p>
    <w:p w:rsidR="002F0088" w:rsidRPr="0053454D" w:rsidRDefault="006D2F63" w:rsidP="009D090C">
      <w:pPr>
        <w:spacing w:after="0" w:line="360" w:lineRule="auto"/>
        <w:jc w:val="both"/>
        <w:rPr>
          <w:rFonts w:ascii="Arial" w:hAnsi="Arial" w:cs="Arial"/>
          <w:bCs/>
          <w:lang w:val="es-CO"/>
        </w:rPr>
      </w:pPr>
      <w:r w:rsidRPr="0053454D">
        <w:rPr>
          <w:rFonts w:ascii="Arial" w:hAnsi="Arial" w:cs="Arial"/>
          <w:b/>
          <w:bCs/>
          <w:lang w:val="es-CO"/>
        </w:rPr>
        <w:t>Fuente.</w:t>
      </w:r>
      <w:r w:rsidRPr="0053454D">
        <w:rPr>
          <w:rFonts w:ascii="Arial" w:hAnsi="Arial" w:cs="Arial"/>
          <w:bCs/>
          <w:lang w:val="es-CO"/>
        </w:rPr>
        <w:t xml:space="preserve"> </w:t>
      </w:r>
      <w:r w:rsidR="002F0088" w:rsidRPr="0053454D">
        <w:rPr>
          <w:rFonts w:ascii="Arial" w:hAnsi="Arial" w:cs="Arial"/>
          <w:bCs/>
          <w:lang w:val="es-CO"/>
        </w:rPr>
        <w:t xml:space="preserve">Decreto 1477 del 5 de agosto de 2014, Enfermedades Laborales – SIVISTRA COVE localidad </w:t>
      </w:r>
      <w:r w:rsidR="003C420C" w:rsidRPr="0053454D">
        <w:rPr>
          <w:rFonts w:ascii="Arial" w:hAnsi="Arial" w:cs="Arial"/>
          <w:bCs/>
          <w:lang w:val="es-CO"/>
        </w:rPr>
        <w:t>Usaquén</w:t>
      </w:r>
      <w:r w:rsidR="002F0088" w:rsidRPr="0053454D">
        <w:rPr>
          <w:rFonts w:ascii="Arial" w:hAnsi="Arial" w:cs="Arial"/>
          <w:bCs/>
          <w:lang w:val="es-CO"/>
        </w:rPr>
        <w:t xml:space="preserve"> Febrero 2018</w:t>
      </w:r>
    </w:p>
    <w:p w:rsidR="0001167D" w:rsidRPr="0053454D" w:rsidRDefault="0001167D" w:rsidP="009D090C">
      <w:pPr>
        <w:spacing w:after="0" w:line="360" w:lineRule="auto"/>
        <w:jc w:val="both"/>
        <w:rPr>
          <w:rFonts w:ascii="Arial" w:hAnsi="Arial" w:cs="Arial"/>
          <w:bCs/>
          <w:lang w:val="es-CO"/>
        </w:rPr>
      </w:pPr>
    </w:p>
    <w:p w:rsidR="006D2F63" w:rsidRPr="0053454D" w:rsidRDefault="006D2F63" w:rsidP="009D090C">
      <w:pPr>
        <w:spacing w:line="360" w:lineRule="auto"/>
        <w:jc w:val="both"/>
        <w:rPr>
          <w:rFonts w:ascii="Arial" w:hAnsi="Arial" w:cs="Arial"/>
          <w:bCs/>
          <w:lang w:val="es-CO"/>
        </w:rPr>
      </w:pPr>
      <w:r w:rsidRPr="0053454D">
        <w:rPr>
          <w:rFonts w:ascii="Arial" w:hAnsi="Arial" w:cs="Arial"/>
          <w:bCs/>
          <w:lang w:val="es-CO"/>
        </w:rPr>
        <w:lastRenderedPageBreak/>
        <w:t xml:space="preserve">Las enfermedades asociadas a riesgo químico se clasifican según el sistema comprometido, en el S. Nervioso se encuentran Trastornos mentales, Encefalopatía, Neuropatía; en el S. Respiratorio se identifican Sinusitis, Rinitis, Laringitis, Faringitis, Asma, Bronquitis, Bronquiolitis, Edema pulmonar, Enfisema intersticial, Síndrome de disfunción reactiva de las vías aéreas, Fibrosis pulmonar, Neumoconiosis, Silicosis, Asbestosis,  Derrame pleural, Placas pleurales; en el S. Dérmico presentan Dermatitis de contacto, Dermatosis, </w:t>
      </w:r>
      <w:proofErr w:type="spellStart"/>
      <w:r w:rsidRPr="0053454D">
        <w:rPr>
          <w:rFonts w:ascii="Arial" w:hAnsi="Arial" w:cs="Arial"/>
          <w:bCs/>
          <w:lang w:val="es-CO"/>
        </w:rPr>
        <w:t>Cloracné</w:t>
      </w:r>
      <w:proofErr w:type="spellEnd"/>
      <w:r w:rsidRPr="0053454D">
        <w:rPr>
          <w:rFonts w:ascii="Arial" w:hAnsi="Arial" w:cs="Arial"/>
          <w:bCs/>
          <w:lang w:val="es-CO"/>
        </w:rPr>
        <w:t xml:space="preserve">; en el S. Reproductor se evidencia Infertilidad, Abortos espontáneos, Defectos al nacer, Partos prematuros y a nivel de cáncer se encuentra Leucemia, Mieloma, Linfoma, Tumores malignos, Neoplasias malignas, </w:t>
      </w:r>
      <w:proofErr w:type="spellStart"/>
      <w:r w:rsidRPr="0053454D">
        <w:rPr>
          <w:rFonts w:ascii="Arial" w:hAnsi="Arial" w:cs="Arial"/>
          <w:bCs/>
          <w:lang w:val="es-CO"/>
        </w:rPr>
        <w:t>Mesotelioma</w:t>
      </w:r>
      <w:proofErr w:type="spellEnd"/>
      <w:r w:rsidRPr="0053454D">
        <w:rPr>
          <w:rFonts w:ascii="Arial" w:hAnsi="Arial" w:cs="Arial"/>
          <w:bCs/>
          <w:lang w:val="es-CO"/>
        </w:rPr>
        <w:t xml:space="preserve"> entre otros.</w:t>
      </w:r>
    </w:p>
    <w:p w:rsidR="006D2F63" w:rsidRPr="0053454D" w:rsidRDefault="006D2F63" w:rsidP="009D090C">
      <w:pPr>
        <w:spacing w:line="360" w:lineRule="auto"/>
        <w:jc w:val="both"/>
        <w:rPr>
          <w:rFonts w:ascii="Arial" w:hAnsi="Arial" w:cs="Arial"/>
          <w:b/>
        </w:rPr>
      </w:pPr>
    </w:p>
    <w:p w:rsidR="006D2F63" w:rsidRPr="0053454D" w:rsidRDefault="006D2F63" w:rsidP="009D090C">
      <w:pPr>
        <w:spacing w:line="360" w:lineRule="auto"/>
        <w:jc w:val="both"/>
        <w:rPr>
          <w:rFonts w:ascii="Arial" w:hAnsi="Arial" w:cs="Arial"/>
          <w:b/>
        </w:rPr>
      </w:pPr>
      <w:r w:rsidRPr="0053454D">
        <w:rPr>
          <w:rFonts w:ascii="Arial" w:hAnsi="Arial" w:cs="Arial"/>
          <w:b/>
        </w:rPr>
        <w:t>Las vías de ingreso de los agentes químicos se identifican como:</w:t>
      </w:r>
    </w:p>
    <w:p w:rsidR="006D2F63" w:rsidRPr="0053454D" w:rsidRDefault="006D2F63" w:rsidP="009D090C">
      <w:pPr>
        <w:spacing w:line="360" w:lineRule="auto"/>
        <w:jc w:val="both"/>
        <w:rPr>
          <w:rFonts w:ascii="Arial" w:hAnsi="Arial" w:cs="Arial"/>
          <w:bCs/>
          <w:lang w:val="es-CO"/>
        </w:rPr>
      </w:pPr>
      <w:r w:rsidRPr="0053454D">
        <w:rPr>
          <w:rFonts w:ascii="Arial" w:hAnsi="Arial" w:cs="Arial"/>
          <w:b/>
        </w:rPr>
        <w:t>Contacto ocular:</w:t>
      </w:r>
      <w:r w:rsidRPr="0053454D">
        <w:rPr>
          <w:rFonts w:ascii="Arial" w:hAnsi="Arial" w:cs="Arial"/>
          <w:bCs/>
          <w:lang w:val="es-CO"/>
        </w:rPr>
        <w:t xml:space="preserve"> Las membranas mucosas que recubren los ojos pueden verse seriamente afectadas por proyecciones, salpicaduras o vapores de algunos productos químicos.</w:t>
      </w:r>
    </w:p>
    <w:p w:rsidR="006D2F63" w:rsidRPr="0053454D" w:rsidRDefault="006D2F63" w:rsidP="009D090C">
      <w:pPr>
        <w:spacing w:line="360" w:lineRule="auto"/>
        <w:jc w:val="both"/>
        <w:rPr>
          <w:rFonts w:ascii="Arial" w:hAnsi="Arial" w:cs="Arial"/>
          <w:bCs/>
          <w:lang w:val="es-CO"/>
        </w:rPr>
      </w:pPr>
      <w:r w:rsidRPr="0053454D">
        <w:rPr>
          <w:rFonts w:ascii="Arial" w:hAnsi="Arial" w:cs="Arial"/>
          <w:b/>
        </w:rPr>
        <w:t>Contacto dérmico:</w:t>
      </w:r>
      <w:r w:rsidRPr="0053454D">
        <w:rPr>
          <w:rFonts w:ascii="Arial" w:hAnsi="Arial" w:cs="Arial"/>
          <w:bCs/>
          <w:lang w:val="es-CO"/>
        </w:rPr>
        <w:t xml:space="preserve"> La piel ofrece más de 1.5 metros cuadrados de superficie de absorción, sobre todo para agentes químicos solubles en grasas. Algunas sustancias pueden atravesar la piel sin causar erosiones o lesiones visibles e incorporarse a la sangre, para posteriormente ser distribuidas por todo el cuerpo.  </w:t>
      </w:r>
    </w:p>
    <w:p w:rsidR="006D2F63" w:rsidRPr="0053454D" w:rsidRDefault="006D2F63" w:rsidP="009D090C">
      <w:pPr>
        <w:spacing w:line="360" w:lineRule="auto"/>
        <w:jc w:val="both"/>
        <w:rPr>
          <w:rFonts w:ascii="Arial" w:hAnsi="Arial" w:cs="Arial"/>
          <w:bCs/>
          <w:lang w:val="es-CO"/>
        </w:rPr>
      </w:pPr>
      <w:r w:rsidRPr="0053454D">
        <w:rPr>
          <w:rFonts w:ascii="Arial" w:hAnsi="Arial" w:cs="Arial"/>
          <w:b/>
        </w:rPr>
        <w:t>Inhalación:</w:t>
      </w:r>
      <w:r w:rsidRPr="0053454D">
        <w:rPr>
          <w:rFonts w:ascii="Arial" w:hAnsi="Arial" w:cs="Arial"/>
          <w:bCs/>
          <w:lang w:val="es-CO"/>
        </w:rPr>
        <w:t xml:space="preserve"> Causa lesiones directas sobre el tabique nasal o en la mucosa nasal, tráquea, bronquios y pulmones. La inhalación de sustancias químicas facilita un rápido ingreso de éstas al torrente sanguíneo. Es la vía más urgente por proteger ya que con el aire que se respira puede ingresar al organismo: polvos, humos, gases, aerosoles, entre otros.  </w:t>
      </w:r>
    </w:p>
    <w:p w:rsidR="006D2F63" w:rsidRPr="0053454D" w:rsidRDefault="006D2F63" w:rsidP="009D090C">
      <w:pPr>
        <w:spacing w:line="360" w:lineRule="auto"/>
        <w:jc w:val="both"/>
        <w:rPr>
          <w:rFonts w:ascii="Arial" w:hAnsi="Arial" w:cs="Arial"/>
          <w:bCs/>
          <w:lang w:val="es-CO"/>
        </w:rPr>
      </w:pPr>
      <w:r w:rsidRPr="0053454D">
        <w:rPr>
          <w:rFonts w:ascii="Arial" w:hAnsi="Arial" w:cs="Arial"/>
          <w:b/>
        </w:rPr>
        <w:t>Ingestión:</w:t>
      </w:r>
      <w:r w:rsidRPr="0053454D">
        <w:rPr>
          <w:rFonts w:ascii="Arial" w:hAnsi="Arial" w:cs="Arial"/>
          <w:bCs/>
          <w:lang w:val="es-CO"/>
        </w:rPr>
        <w:t xml:space="preserve"> Agua, alimentos, manos y objetos contaminados son llevados a la boca y suelen ser una vía frecuente de intoxicación o de contaminación. Laboralmente es una vía de ingreso debida a las inadecuadas prácticas de higiene laboral.  </w:t>
      </w:r>
    </w:p>
    <w:p w:rsidR="006D2F63" w:rsidRPr="0053454D" w:rsidRDefault="006D2F63" w:rsidP="009D090C">
      <w:pPr>
        <w:spacing w:line="360" w:lineRule="auto"/>
        <w:jc w:val="both"/>
        <w:rPr>
          <w:rFonts w:ascii="Arial" w:hAnsi="Arial" w:cs="Arial"/>
        </w:rPr>
      </w:pPr>
      <w:r w:rsidRPr="0053454D">
        <w:rPr>
          <w:rFonts w:ascii="Arial" w:hAnsi="Arial" w:cs="Arial"/>
        </w:rPr>
        <w:t>Se mencionan los factores que intervienen en el desarrollo de una enfermedad por exposición a sustancias químicas: 1. Peligros asociados con la sustancia 2. Concentración en el ambiente 3. Duración y frecuencia de la exposición 4. Condiciones anatómicas y funcionales de la persona 5. Hábitos personales.</w:t>
      </w:r>
    </w:p>
    <w:p w:rsidR="006D2F63" w:rsidRPr="0053454D" w:rsidRDefault="006D2F63" w:rsidP="009D090C">
      <w:pPr>
        <w:spacing w:line="360" w:lineRule="auto"/>
        <w:jc w:val="both"/>
        <w:rPr>
          <w:rFonts w:ascii="Arial" w:hAnsi="Arial" w:cs="Arial"/>
          <w:bCs/>
          <w:lang w:val="es-CO"/>
        </w:rPr>
      </w:pPr>
      <w:r w:rsidRPr="0053454D">
        <w:rPr>
          <w:rFonts w:ascii="Arial" w:hAnsi="Arial" w:cs="Arial"/>
          <w:bCs/>
          <w:lang w:val="es-CO"/>
        </w:rPr>
        <w:t xml:space="preserve">Se identifican las enfermedades que se pueden presentar debido a la exposición a componentes químicos como el plomo, benceno, mercurio, asbesto, arsénico, entre </w:t>
      </w:r>
      <w:r w:rsidRPr="0053454D">
        <w:rPr>
          <w:rFonts w:ascii="Arial" w:hAnsi="Arial" w:cs="Arial"/>
          <w:bCs/>
          <w:lang w:val="es-CO"/>
        </w:rPr>
        <w:lastRenderedPageBreak/>
        <w:t xml:space="preserve">otros;  según las ocupaciones y actividades económicas en las cuales se desempeñan los trabajadores del sector informal. </w:t>
      </w:r>
    </w:p>
    <w:p w:rsidR="006D2F63" w:rsidRPr="0053454D" w:rsidRDefault="006D2F63" w:rsidP="009D090C">
      <w:pPr>
        <w:spacing w:after="0" w:line="360" w:lineRule="auto"/>
        <w:jc w:val="both"/>
        <w:rPr>
          <w:rFonts w:ascii="Arial" w:hAnsi="Arial" w:cs="Arial"/>
          <w:bCs/>
          <w:lang w:val="es-CO"/>
        </w:rPr>
      </w:pPr>
    </w:p>
    <w:p w:rsidR="00E91417" w:rsidRPr="0053454D" w:rsidRDefault="00E91417" w:rsidP="009D090C">
      <w:pPr>
        <w:pStyle w:val="Prrafodelista"/>
        <w:numPr>
          <w:ilvl w:val="0"/>
          <w:numId w:val="24"/>
        </w:numPr>
        <w:suppressAutoHyphens/>
        <w:spacing w:after="200" w:line="360" w:lineRule="auto"/>
        <w:jc w:val="both"/>
        <w:rPr>
          <w:rFonts w:ascii="Arial" w:hAnsi="Arial" w:cs="Arial"/>
          <w:bCs/>
          <w:lang w:val="es-CO"/>
        </w:rPr>
      </w:pPr>
      <w:r w:rsidRPr="0053454D">
        <w:rPr>
          <w:rFonts w:ascii="Arial" w:hAnsi="Arial" w:cs="Arial"/>
          <w:b/>
        </w:rPr>
        <w:t>Introducción y socialización de indicadores SISVESO (Sistema de Vigilancia Epidemiológica en Salud Oral).  Unidad de análisis de caso de población alert</w:t>
      </w:r>
      <w:r w:rsidR="00B50073" w:rsidRPr="0053454D">
        <w:rPr>
          <w:rFonts w:ascii="Arial" w:hAnsi="Arial" w:cs="Arial"/>
          <w:b/>
        </w:rPr>
        <w:t xml:space="preserve">a en salud oral.  </w:t>
      </w:r>
    </w:p>
    <w:p w:rsidR="00321D52" w:rsidRPr="0053454D" w:rsidRDefault="00321D52" w:rsidP="009D090C">
      <w:pPr>
        <w:spacing w:after="0" w:line="360" w:lineRule="auto"/>
        <w:jc w:val="both"/>
        <w:rPr>
          <w:rFonts w:ascii="Arial" w:hAnsi="Arial" w:cs="Arial"/>
          <w:bCs/>
          <w:lang w:val="es-CO"/>
        </w:rPr>
      </w:pPr>
      <w:r w:rsidRPr="0053454D">
        <w:rPr>
          <w:rFonts w:ascii="Arial" w:hAnsi="Arial" w:cs="Arial"/>
          <w:bCs/>
          <w:lang w:val="es-CO"/>
        </w:rPr>
        <w:t xml:space="preserve">El subsistema SISVESO inicia la intervención donde se socializa el  objetivo a desarrollar desde la  vigilancia en salud pública de la salud oral en Bogotá D.C., mediante la consolidación y mantenimiento de la red de vigilancia para identificar barreras de acceso a los servicios de salud oral, prácticas de auto cuidado, identificar población en riesgo, e identificar determinantes sociales de calidad de vida; que permitan orientar las acciones dirigidas a mejorar la salud oral de la población que habita en la ciudad, como factor crítico de éxito, aportando al fortalecimiento de la Política Publica Distrital de Salud Oral y al </w:t>
      </w:r>
      <w:proofErr w:type="spellStart"/>
      <w:r w:rsidRPr="0053454D">
        <w:rPr>
          <w:rFonts w:ascii="Arial" w:hAnsi="Arial" w:cs="Arial"/>
          <w:bCs/>
          <w:lang w:val="es-CO"/>
        </w:rPr>
        <w:t>ACCVyE</w:t>
      </w:r>
      <w:proofErr w:type="spellEnd"/>
      <w:r w:rsidRPr="0053454D">
        <w:rPr>
          <w:rFonts w:ascii="Arial" w:hAnsi="Arial" w:cs="Arial"/>
          <w:bCs/>
          <w:lang w:val="es-CO"/>
        </w:rPr>
        <w:t xml:space="preserve"> Distrital, impactando los indicadores de morbilidad del subsistema, a continuación se socializan los indicadores de salud oral d</w:t>
      </w:r>
      <w:r w:rsidR="000E406A" w:rsidRPr="0053454D">
        <w:rPr>
          <w:rFonts w:ascii="Arial" w:hAnsi="Arial" w:cs="Arial"/>
          <w:bCs/>
          <w:lang w:val="es-CO"/>
        </w:rPr>
        <w:t>e la localidad de Usaquén</w:t>
      </w:r>
      <w:r w:rsidRPr="0053454D">
        <w:rPr>
          <w:rFonts w:ascii="Arial" w:hAnsi="Arial" w:cs="Arial"/>
          <w:bCs/>
          <w:lang w:val="es-CO"/>
        </w:rPr>
        <w:t>. En la tabla se muestra la Gingivitis, evento bajo vigilancia del SISVESO, observando que representan el mayor porcentaje con relación a los demás eventos e</w:t>
      </w:r>
      <w:r w:rsidR="005F02A6" w:rsidRPr="0053454D">
        <w:rPr>
          <w:rFonts w:ascii="Arial" w:hAnsi="Arial" w:cs="Arial"/>
          <w:bCs/>
          <w:lang w:val="es-CO"/>
        </w:rPr>
        <w:t>n la localidad de Usaquén</w:t>
      </w:r>
      <w:r w:rsidRPr="0053454D">
        <w:rPr>
          <w:rFonts w:ascii="Arial" w:hAnsi="Arial" w:cs="Arial"/>
          <w:bCs/>
          <w:lang w:val="es-CO"/>
        </w:rPr>
        <w:t xml:space="preserve"> seguido de la caries cavitacional, siendo el ciclo vital juventud con el mayor número de notificación.</w:t>
      </w:r>
    </w:p>
    <w:p w:rsidR="008D4421" w:rsidRPr="008D4421" w:rsidRDefault="008D4421" w:rsidP="008D4421">
      <w:pPr>
        <w:spacing w:line="240" w:lineRule="auto"/>
        <w:jc w:val="both"/>
        <w:rPr>
          <w:rFonts w:ascii="Arial" w:hAnsi="Arial" w:cs="Arial"/>
          <w:color w:val="000000"/>
          <w:shd w:val="clear" w:color="auto" w:fill="FFFFFF"/>
        </w:rPr>
      </w:pPr>
      <w:r w:rsidRPr="008D4421">
        <w:rPr>
          <w:rFonts w:ascii="Arial" w:hAnsi="Arial" w:cs="Arial"/>
          <w:bCs/>
          <w:lang w:val="es-CO"/>
        </w:rPr>
        <w:t xml:space="preserve">En  cuanto a </w:t>
      </w:r>
      <w:r w:rsidRPr="008D4421">
        <w:rPr>
          <w:rFonts w:ascii="Arial" w:hAnsi="Arial" w:cs="Arial"/>
        </w:rPr>
        <w:t>la periodontitis es uno de los eventos con menor proporción en la notificación, con el 1,6%(n=79) en el ciclo vital de adultez y persona mayor teniendo en cuenta que por lo general se tratan de periodontitis moderadas muy comunes y compatibles con una buena función de la dentición hasta edades avanzadas, caso contrario ocurre con la periodontitis graves que compromete la supervivencia de los dientes.</w:t>
      </w:r>
      <w:r w:rsidRPr="008D4421">
        <w:rPr>
          <w:rFonts w:ascii="Arial" w:hAnsi="Arial" w:cs="Arial"/>
          <w:color w:val="000000"/>
          <w:shd w:val="clear" w:color="auto" w:fill="FFFFFF"/>
        </w:rPr>
        <w:t xml:space="preserve"> La periodontitis no es una consecuencia de la edad, aunque al ser una enfermedad crónica, en ausencia de tratamiento su gravedad aumenta al aumentar la edad del individuo.</w:t>
      </w:r>
    </w:p>
    <w:p w:rsidR="008D4421" w:rsidRPr="008D4421" w:rsidRDefault="008D4421" w:rsidP="008D4421">
      <w:pPr>
        <w:spacing w:line="240" w:lineRule="auto"/>
        <w:jc w:val="both"/>
        <w:rPr>
          <w:rFonts w:ascii="Arial" w:hAnsi="Arial" w:cs="Arial"/>
          <w:lang w:val="es-MX"/>
        </w:rPr>
      </w:pPr>
      <w:r w:rsidRPr="008D4421">
        <w:rPr>
          <w:rFonts w:ascii="Arial" w:hAnsi="Arial" w:cs="Arial"/>
          <w:lang w:val="es-MX"/>
        </w:rPr>
        <w:t xml:space="preserve">En cuanto a la caries </w:t>
      </w:r>
      <w:proofErr w:type="spellStart"/>
      <w:r w:rsidRPr="008D4421">
        <w:rPr>
          <w:rFonts w:ascii="Arial" w:hAnsi="Arial" w:cs="Arial"/>
          <w:lang w:val="es-MX"/>
        </w:rPr>
        <w:t>cavitacional</w:t>
      </w:r>
      <w:proofErr w:type="spellEnd"/>
      <w:r w:rsidRPr="008D4421">
        <w:rPr>
          <w:rFonts w:ascii="Arial" w:hAnsi="Arial" w:cs="Arial"/>
          <w:lang w:val="es-MX"/>
        </w:rPr>
        <w:t xml:space="preserve"> la mayor notificación la presenta el ciclo vital de adultez, por ser la población en edad activa laboralmente,  no cuenta con el tiempo para terminar tratamientos odontológicos debido a sus jornadas laborales seguido de adulto mayor juventud en menor proporción infancia, por ser población dependiente.</w:t>
      </w:r>
    </w:p>
    <w:p w:rsidR="008D4421" w:rsidRPr="008D4421" w:rsidRDefault="008D4421" w:rsidP="008D4421">
      <w:pPr>
        <w:spacing w:line="240" w:lineRule="auto"/>
        <w:jc w:val="both"/>
        <w:rPr>
          <w:rFonts w:ascii="Arial" w:hAnsi="Arial" w:cs="Arial"/>
        </w:rPr>
      </w:pPr>
      <w:r w:rsidRPr="008D4421">
        <w:rPr>
          <w:rFonts w:ascii="Arial" w:hAnsi="Arial" w:cs="Arial"/>
          <w:lang w:val="es-MX"/>
        </w:rPr>
        <w:t xml:space="preserve">La lesión por mancha blanca </w:t>
      </w:r>
      <w:r w:rsidRPr="008D4421">
        <w:rPr>
          <w:rFonts w:ascii="Arial" w:hAnsi="Arial" w:cs="Arial"/>
        </w:rPr>
        <w:t xml:space="preserve">producida por diversos factores como </w:t>
      </w:r>
      <w:proofErr w:type="spellStart"/>
      <w:r w:rsidRPr="008D4421">
        <w:rPr>
          <w:rFonts w:ascii="Arial" w:hAnsi="Arial" w:cs="Arial"/>
        </w:rPr>
        <w:t>fluorosis</w:t>
      </w:r>
      <w:proofErr w:type="spellEnd"/>
      <w:r w:rsidRPr="008D4421">
        <w:rPr>
          <w:rFonts w:ascii="Arial" w:hAnsi="Arial" w:cs="Arial"/>
        </w:rPr>
        <w:t xml:space="preserve"> dental, hipoplasias del esmalte, traumatismos dentales, tratamiento </w:t>
      </w:r>
      <w:proofErr w:type="spellStart"/>
      <w:r w:rsidRPr="008D4421">
        <w:rPr>
          <w:rFonts w:ascii="Arial" w:hAnsi="Arial" w:cs="Arial"/>
        </w:rPr>
        <w:t>ortodóntico</w:t>
      </w:r>
      <w:proofErr w:type="spellEnd"/>
      <w:r w:rsidRPr="008D4421">
        <w:rPr>
          <w:rFonts w:ascii="Arial" w:hAnsi="Arial" w:cs="Arial"/>
        </w:rPr>
        <w:t xml:space="preserve"> y caries incipiente presentó una proporción muy homogénea para los ciclos vitales Adultez, Juventud e infancia. La lesión por mancha café presenta una menor incidencia que la mancha blanca con el 7,3%(n=373), y se observa con mayor frecuencia en el ciclo vital infancia.</w:t>
      </w:r>
    </w:p>
    <w:p w:rsidR="008D4421" w:rsidRPr="008D4421" w:rsidRDefault="008D4421" w:rsidP="008D4421">
      <w:pPr>
        <w:spacing w:line="240" w:lineRule="auto"/>
        <w:jc w:val="both"/>
        <w:rPr>
          <w:rFonts w:ascii="Arial" w:hAnsi="Arial" w:cs="Arial"/>
        </w:rPr>
      </w:pPr>
      <w:r w:rsidRPr="008D4421">
        <w:rPr>
          <w:rFonts w:ascii="Arial" w:hAnsi="Arial" w:cs="Arial"/>
          <w:color w:val="000000"/>
          <w:shd w:val="clear" w:color="auto" w:fill="FFFFFF"/>
        </w:rPr>
        <w:t xml:space="preserve"> Dentro de los seis eventos bajo vigilancia del SISVESO se encuentra la </w:t>
      </w:r>
      <w:proofErr w:type="spellStart"/>
      <w:r w:rsidRPr="008D4421">
        <w:rPr>
          <w:rFonts w:ascii="Arial" w:hAnsi="Arial" w:cs="Arial"/>
          <w:color w:val="000000"/>
          <w:shd w:val="clear" w:color="auto" w:fill="FFFFFF"/>
        </w:rPr>
        <w:t>fluorosis</w:t>
      </w:r>
      <w:proofErr w:type="spellEnd"/>
      <w:r w:rsidRPr="008D4421">
        <w:rPr>
          <w:rFonts w:ascii="Arial" w:hAnsi="Arial" w:cs="Arial"/>
          <w:color w:val="000000"/>
          <w:shd w:val="clear" w:color="auto" w:fill="FFFFFF"/>
        </w:rPr>
        <w:t xml:space="preserve"> dental siendo una condición irreversible causada por la ingestión excesiva de fluoruro durante la formación del diente, generalmente desde que se nace hasta que se cumplen 6-8 años. En la localidad de Suba su proporción es de </w:t>
      </w:r>
      <w:r w:rsidRPr="008D4421">
        <w:rPr>
          <w:rFonts w:ascii="Arial" w:hAnsi="Arial" w:cs="Arial"/>
        </w:rPr>
        <w:t>6,0%(n=305), y se observa en todos los ciclos vitales.</w:t>
      </w:r>
    </w:p>
    <w:p w:rsidR="008D4421" w:rsidRPr="002072C1" w:rsidRDefault="008D4421" w:rsidP="008D4421">
      <w:pPr>
        <w:spacing w:line="240" w:lineRule="auto"/>
        <w:jc w:val="both"/>
        <w:rPr>
          <w:rFonts w:ascii="Arial" w:hAnsi="Arial" w:cs="Arial"/>
          <w:sz w:val="24"/>
          <w:szCs w:val="24"/>
        </w:rPr>
      </w:pPr>
    </w:p>
    <w:p w:rsidR="008D4421" w:rsidRDefault="008D4421" w:rsidP="008D4421">
      <w:pPr>
        <w:spacing w:after="0" w:line="360" w:lineRule="auto"/>
        <w:jc w:val="both"/>
        <w:rPr>
          <w:rFonts w:ascii="Maiandra GD" w:hAnsi="Maiandra GD" w:cs="Arial"/>
          <w:bCs/>
          <w:sz w:val="24"/>
          <w:szCs w:val="24"/>
          <w:lang w:val="es-CO"/>
        </w:rPr>
      </w:pPr>
      <w:r>
        <w:rPr>
          <w:rFonts w:ascii="Maiandra GD" w:hAnsi="Maiandra GD" w:cs="Arial"/>
          <w:bCs/>
          <w:sz w:val="24"/>
          <w:szCs w:val="24"/>
          <w:lang w:val="es-CO"/>
        </w:rPr>
        <w:t>.</w:t>
      </w:r>
    </w:p>
    <w:p w:rsidR="00C04345" w:rsidRPr="0053454D" w:rsidRDefault="00C04345" w:rsidP="009D090C">
      <w:pPr>
        <w:spacing w:line="360" w:lineRule="auto"/>
        <w:jc w:val="both"/>
        <w:rPr>
          <w:rFonts w:ascii="Arial" w:hAnsi="Arial" w:cs="Arial"/>
          <w:bCs/>
          <w:lang w:val="es-CO"/>
        </w:rPr>
      </w:pPr>
    </w:p>
    <w:p w:rsidR="008D4421" w:rsidRDefault="008D4421" w:rsidP="008D4421">
      <w:pPr>
        <w:pStyle w:val="Ttulo3"/>
        <w:jc w:val="center"/>
        <w:rPr>
          <w:rFonts w:ascii="Maiandra GD" w:eastAsiaTheme="minorHAnsi" w:hAnsi="Maiandra GD"/>
          <w:sz w:val="24"/>
          <w:szCs w:val="24"/>
          <w:lang w:eastAsia="en-US"/>
        </w:rPr>
      </w:pPr>
      <w:r w:rsidRPr="00321D52">
        <w:rPr>
          <w:rFonts w:ascii="Maiandra GD" w:eastAsiaTheme="minorHAnsi" w:hAnsi="Maiandra GD"/>
          <w:sz w:val="24"/>
          <w:szCs w:val="24"/>
          <w:lang w:eastAsia="en-US"/>
        </w:rPr>
        <w:t>Tabla 1. Distribución de la población captada por Vigilancia Centinela según ciclo Vital Vs Eventos bajo vigilan</w:t>
      </w:r>
      <w:r>
        <w:rPr>
          <w:rFonts w:ascii="Maiandra GD" w:eastAsiaTheme="minorHAnsi" w:hAnsi="Maiandra GD"/>
          <w:sz w:val="24"/>
          <w:szCs w:val="24"/>
          <w:lang w:eastAsia="en-US"/>
        </w:rPr>
        <w:t xml:space="preserve">cia, localidad de </w:t>
      </w:r>
      <w:r w:rsidRPr="00D0581A">
        <w:rPr>
          <w:rFonts w:ascii="Maiandra GD" w:eastAsiaTheme="minorHAnsi" w:hAnsi="Maiandra GD"/>
          <w:color w:val="000000" w:themeColor="text1"/>
          <w:sz w:val="24"/>
          <w:szCs w:val="24"/>
          <w:lang w:eastAsia="en-US"/>
        </w:rPr>
        <w:t>Suba</w:t>
      </w:r>
      <w:r>
        <w:rPr>
          <w:rFonts w:ascii="Maiandra GD" w:eastAsiaTheme="minorHAnsi" w:hAnsi="Maiandra GD"/>
          <w:color w:val="FF0000"/>
          <w:sz w:val="24"/>
          <w:szCs w:val="24"/>
          <w:lang w:eastAsia="en-US"/>
        </w:rPr>
        <w:t xml:space="preserve"> </w:t>
      </w:r>
      <w:r w:rsidRPr="00321D52">
        <w:rPr>
          <w:rFonts w:ascii="Maiandra GD" w:eastAsiaTheme="minorHAnsi" w:hAnsi="Maiandra GD"/>
          <w:sz w:val="24"/>
          <w:szCs w:val="24"/>
          <w:lang w:eastAsia="en-US"/>
        </w:rPr>
        <w:t>2017.</w:t>
      </w:r>
    </w:p>
    <w:p w:rsidR="008D4421" w:rsidRPr="00D0581A" w:rsidRDefault="008D4421" w:rsidP="008D4421"/>
    <w:tbl>
      <w:tblPr>
        <w:tblW w:w="8880" w:type="dxa"/>
        <w:tblCellMar>
          <w:left w:w="0" w:type="dxa"/>
          <w:right w:w="0" w:type="dxa"/>
        </w:tblCellMar>
        <w:tblLook w:val="04A0" w:firstRow="1" w:lastRow="0" w:firstColumn="1" w:lastColumn="0" w:noHBand="0" w:noVBand="1"/>
      </w:tblPr>
      <w:tblGrid>
        <w:gridCol w:w="530"/>
        <w:gridCol w:w="2185"/>
        <w:gridCol w:w="760"/>
        <w:gridCol w:w="565"/>
        <w:gridCol w:w="686"/>
        <w:gridCol w:w="565"/>
        <w:gridCol w:w="634"/>
        <w:gridCol w:w="565"/>
        <w:gridCol w:w="595"/>
        <w:gridCol w:w="583"/>
        <w:gridCol w:w="647"/>
        <w:gridCol w:w="565"/>
      </w:tblGrid>
      <w:tr w:rsidR="008D4421" w:rsidTr="00E967F7">
        <w:trPr>
          <w:trHeight w:val="300"/>
        </w:trPr>
        <w:tc>
          <w:tcPr>
            <w:tcW w:w="2760" w:type="dxa"/>
            <w:gridSpan w:val="2"/>
            <w:vMerge w:val="restart"/>
            <w:tcBorders>
              <w:top w:val="single" w:sz="4" w:space="0" w:color="auto"/>
              <w:left w:val="single" w:sz="4" w:space="0" w:color="auto"/>
              <w:bottom w:val="single" w:sz="4" w:space="0" w:color="000000"/>
              <w:right w:val="single" w:sz="4" w:space="0" w:color="000000"/>
            </w:tcBorders>
            <w:shd w:val="clear" w:color="000000" w:fill="BFBFBF"/>
            <w:tcMar>
              <w:top w:w="15" w:type="dxa"/>
              <w:left w:w="15" w:type="dxa"/>
              <w:bottom w:w="0" w:type="dxa"/>
              <w:right w:w="15" w:type="dxa"/>
            </w:tcMar>
            <w:vAlign w:val="center"/>
            <w:hideMark/>
          </w:tcPr>
          <w:p w:rsidR="008D4421" w:rsidRDefault="008D4421" w:rsidP="00E967F7">
            <w:pPr>
              <w:jc w:val="center"/>
              <w:rPr>
                <w:rFonts w:ascii="Arial" w:hAnsi="Arial" w:cs="Arial"/>
                <w:b/>
                <w:bCs/>
                <w:sz w:val="16"/>
                <w:szCs w:val="16"/>
              </w:rPr>
            </w:pPr>
            <w:r>
              <w:rPr>
                <w:rFonts w:ascii="Arial" w:hAnsi="Arial" w:cs="Arial"/>
                <w:b/>
                <w:bCs/>
                <w:sz w:val="16"/>
                <w:szCs w:val="16"/>
              </w:rPr>
              <w:t>NO TRANSMISIBLES - SISVESO</w:t>
            </w:r>
          </w:p>
        </w:tc>
        <w:tc>
          <w:tcPr>
            <w:tcW w:w="6120" w:type="dxa"/>
            <w:gridSpan w:val="10"/>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sz w:val="16"/>
                <w:szCs w:val="16"/>
              </w:rPr>
            </w:pPr>
            <w:r>
              <w:rPr>
                <w:rFonts w:ascii="Arial" w:hAnsi="Arial" w:cs="Arial"/>
                <w:b/>
                <w:bCs/>
                <w:sz w:val="16"/>
                <w:szCs w:val="16"/>
              </w:rPr>
              <w:t xml:space="preserve">EVENTOS BAJO VIGILANCIA </w:t>
            </w:r>
          </w:p>
        </w:tc>
      </w:tr>
      <w:tr w:rsidR="008D4421" w:rsidTr="00E967F7">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8D4421" w:rsidRDefault="008D4421" w:rsidP="00E967F7">
            <w:pPr>
              <w:rPr>
                <w:rFonts w:ascii="Arial" w:hAnsi="Arial" w:cs="Arial"/>
                <w:b/>
                <w:bCs/>
                <w:sz w:val="16"/>
                <w:szCs w:val="16"/>
              </w:rPr>
            </w:pP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sz w:val="16"/>
                <w:szCs w:val="16"/>
              </w:rPr>
            </w:pPr>
            <w:r>
              <w:rPr>
                <w:rFonts w:ascii="Arial" w:hAnsi="Arial" w:cs="Arial"/>
                <w:b/>
                <w:bCs/>
                <w:sz w:val="16"/>
                <w:szCs w:val="16"/>
              </w:rPr>
              <w:t>Infancia</w:t>
            </w: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sz w:val="16"/>
                <w:szCs w:val="16"/>
              </w:rPr>
            </w:pPr>
            <w:r>
              <w:rPr>
                <w:rFonts w:ascii="Arial" w:hAnsi="Arial" w:cs="Arial"/>
                <w:b/>
                <w:bCs/>
                <w:sz w:val="16"/>
                <w:szCs w:val="16"/>
              </w:rPr>
              <w:t>Juventud</w:t>
            </w: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Adultez</w:t>
            </w: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Persona Mayor</w:t>
            </w: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TOTAL</w:t>
            </w:r>
          </w:p>
        </w:tc>
      </w:tr>
      <w:tr w:rsidR="008D4421" w:rsidTr="00E967F7">
        <w:trPr>
          <w:trHeight w:val="33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8D4421" w:rsidRDefault="008D4421" w:rsidP="00E967F7">
            <w:pPr>
              <w:rPr>
                <w:rFonts w:ascii="Arial" w:hAnsi="Arial" w:cs="Arial"/>
                <w:b/>
                <w:bCs/>
                <w:sz w:val="16"/>
                <w:szCs w:val="16"/>
              </w:rPr>
            </w:pPr>
          </w:p>
        </w:tc>
        <w:tc>
          <w:tcPr>
            <w:tcW w:w="760"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hideMark/>
          </w:tcPr>
          <w:p w:rsidR="008D4421" w:rsidRDefault="008D4421" w:rsidP="00E967F7">
            <w:pPr>
              <w:jc w:val="center"/>
              <w:rPr>
                <w:rFonts w:ascii="Calibri" w:hAnsi="Calibri" w:cs="Times New Roman"/>
                <w:color w:val="000000"/>
                <w:sz w:val="16"/>
                <w:szCs w:val="16"/>
              </w:rPr>
            </w:pPr>
            <w:r>
              <w:rPr>
                <w:rFonts w:ascii="Calibri" w:hAnsi="Calibri"/>
                <w:color w:val="000000"/>
                <w:sz w:val="16"/>
                <w:szCs w:val="16"/>
              </w:rPr>
              <w:t>n</w:t>
            </w:r>
          </w:p>
        </w:tc>
        <w:tc>
          <w:tcPr>
            <w:tcW w:w="0" w:type="auto"/>
            <w:tcBorders>
              <w:top w:val="nil"/>
              <w:left w:val="nil"/>
              <w:bottom w:val="nil"/>
              <w:right w:val="nil"/>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w:t>
            </w:r>
          </w:p>
        </w:tc>
        <w:tc>
          <w:tcPr>
            <w:tcW w:w="660"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8D4421" w:rsidRDefault="008D4421" w:rsidP="00E967F7">
            <w:pPr>
              <w:jc w:val="center"/>
              <w:rPr>
                <w:rFonts w:ascii="Calibri" w:hAnsi="Calibri" w:cs="Times New Roman"/>
                <w:color w:val="000000"/>
                <w:sz w:val="16"/>
                <w:szCs w:val="16"/>
              </w:rPr>
            </w:pPr>
            <w:r>
              <w:rPr>
                <w:rFonts w:ascii="Calibri" w:hAnsi="Calibri"/>
                <w:color w:val="000000"/>
                <w:sz w:val="16"/>
                <w:szCs w:val="16"/>
              </w:rPr>
              <w:t>n</w:t>
            </w:r>
          </w:p>
        </w:tc>
        <w:tc>
          <w:tcPr>
            <w:tcW w:w="0" w:type="auto"/>
            <w:tcBorders>
              <w:top w:val="nil"/>
              <w:left w:val="nil"/>
              <w:bottom w:val="nil"/>
              <w:right w:val="nil"/>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w:t>
            </w:r>
          </w:p>
        </w:tc>
        <w:tc>
          <w:tcPr>
            <w:tcW w:w="580"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8D4421" w:rsidRDefault="008D4421" w:rsidP="00E967F7">
            <w:pPr>
              <w:jc w:val="center"/>
              <w:rPr>
                <w:rFonts w:ascii="Calibri" w:hAnsi="Calibri" w:cs="Times New Roman"/>
                <w:color w:val="000000"/>
                <w:sz w:val="16"/>
                <w:szCs w:val="16"/>
              </w:rPr>
            </w:pPr>
            <w:r>
              <w:rPr>
                <w:rFonts w:ascii="Calibri" w:hAnsi="Calibri"/>
                <w:color w:val="000000"/>
                <w:sz w:val="16"/>
                <w:szCs w:val="16"/>
              </w:rPr>
              <w:t>n</w:t>
            </w:r>
          </w:p>
        </w:tc>
        <w:tc>
          <w:tcPr>
            <w:tcW w:w="0" w:type="auto"/>
            <w:tcBorders>
              <w:top w:val="nil"/>
              <w:left w:val="nil"/>
              <w:bottom w:val="nil"/>
              <w:right w:val="nil"/>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w:t>
            </w:r>
          </w:p>
        </w:tc>
        <w:tc>
          <w:tcPr>
            <w:tcW w:w="580"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8D4421" w:rsidRDefault="008D4421" w:rsidP="00E967F7">
            <w:pPr>
              <w:jc w:val="center"/>
              <w:rPr>
                <w:rFonts w:ascii="Calibri" w:hAnsi="Calibri" w:cs="Times New Roman"/>
                <w:color w:val="000000"/>
                <w:sz w:val="16"/>
                <w:szCs w:val="16"/>
              </w:rPr>
            </w:pPr>
            <w:r>
              <w:rPr>
                <w:rFonts w:ascii="Calibri" w:hAnsi="Calibri"/>
                <w:color w:val="000000"/>
                <w:sz w:val="16"/>
                <w:szCs w:val="16"/>
              </w:rPr>
              <w:t>n</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w:t>
            </w:r>
          </w:p>
        </w:tc>
        <w:tc>
          <w:tcPr>
            <w:tcW w:w="600"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hideMark/>
          </w:tcPr>
          <w:p w:rsidR="008D4421" w:rsidRDefault="008D4421" w:rsidP="00E967F7">
            <w:pPr>
              <w:jc w:val="center"/>
              <w:rPr>
                <w:rFonts w:ascii="Calibri" w:hAnsi="Calibri" w:cs="Times New Roman"/>
                <w:color w:val="000000"/>
                <w:sz w:val="16"/>
                <w:szCs w:val="16"/>
              </w:rPr>
            </w:pPr>
            <w:r>
              <w:rPr>
                <w:rFonts w:ascii="Calibri" w:hAnsi="Calibri"/>
                <w:color w:val="000000"/>
                <w:sz w:val="16"/>
                <w:szCs w:val="16"/>
              </w:rPr>
              <w:t>n</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w:t>
            </w:r>
          </w:p>
        </w:tc>
      </w:tr>
      <w:tr w:rsidR="008D4421" w:rsidTr="00E967F7">
        <w:trPr>
          <w:trHeight w:val="300"/>
        </w:trPr>
        <w:tc>
          <w:tcPr>
            <w:tcW w:w="0" w:type="auto"/>
            <w:vMerge w:val="restart"/>
            <w:tcBorders>
              <w:top w:val="nil"/>
              <w:left w:val="single" w:sz="4" w:space="0" w:color="auto"/>
              <w:bottom w:val="single" w:sz="4" w:space="0" w:color="000000"/>
              <w:right w:val="single" w:sz="4" w:space="0" w:color="auto"/>
            </w:tcBorders>
            <w:shd w:val="clear" w:color="000000" w:fill="C5D9F1"/>
            <w:noWrap/>
            <w:tcMar>
              <w:top w:w="15" w:type="dxa"/>
              <w:left w:w="15" w:type="dxa"/>
              <w:bottom w:w="0" w:type="dxa"/>
              <w:right w:w="15" w:type="dxa"/>
            </w:tcMar>
            <w:textDirection w:val="tbLrV"/>
            <w:vAlign w:val="center"/>
            <w:hideMark/>
          </w:tcPr>
          <w:p w:rsidR="008D4421" w:rsidRDefault="008D4421" w:rsidP="00E967F7">
            <w:pPr>
              <w:jc w:val="center"/>
              <w:rPr>
                <w:rFonts w:ascii="Arial" w:hAnsi="Arial" w:cs="Arial"/>
                <w:b/>
                <w:bCs/>
                <w:color w:val="000000"/>
                <w:sz w:val="16"/>
                <w:szCs w:val="16"/>
              </w:rPr>
            </w:pPr>
            <w:r>
              <w:rPr>
                <w:rFonts w:ascii="Arial" w:hAnsi="Arial" w:cs="Arial"/>
                <w:b/>
                <w:bCs/>
                <w:color w:val="000000"/>
                <w:sz w:val="16"/>
                <w:szCs w:val="16"/>
              </w:rPr>
              <w:t xml:space="preserve">SUBA </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r>
              <w:rPr>
                <w:rFonts w:ascii="Arial" w:hAnsi="Arial" w:cs="Arial"/>
                <w:sz w:val="16"/>
                <w:szCs w:val="16"/>
              </w:rPr>
              <w:t>Gingivitis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439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826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730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40,2</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r>
              <w:rPr>
                <w:rFonts w:ascii="Arial" w:hAnsi="Arial" w:cs="Arial"/>
                <w:sz w:val="16"/>
                <w:szCs w:val="16"/>
              </w:rPr>
              <w:t>Periodontitis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1,6</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r>
              <w:rPr>
                <w:rFonts w:ascii="Arial" w:hAnsi="Arial" w:cs="Arial"/>
                <w:sz w:val="16"/>
                <w:szCs w:val="16"/>
              </w:rPr>
              <w:t xml:space="preserve">Caries </w:t>
            </w:r>
            <w:proofErr w:type="spellStart"/>
            <w:r>
              <w:rPr>
                <w:rFonts w:ascii="Arial" w:hAnsi="Arial" w:cs="Arial"/>
                <w:sz w:val="16"/>
                <w:szCs w:val="16"/>
              </w:rPr>
              <w:t>Cavitacional</w:t>
            </w:r>
            <w:proofErr w:type="spellEnd"/>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27,8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30,6</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proofErr w:type="spellStart"/>
            <w:r>
              <w:rPr>
                <w:rFonts w:ascii="Arial" w:hAnsi="Arial" w:cs="Arial"/>
                <w:sz w:val="16"/>
                <w:szCs w:val="16"/>
              </w:rPr>
              <w:t>Lesion</w:t>
            </w:r>
            <w:proofErr w:type="spellEnd"/>
            <w:r>
              <w:rPr>
                <w:rFonts w:ascii="Arial" w:hAnsi="Arial" w:cs="Arial"/>
                <w:sz w:val="16"/>
                <w:szCs w:val="16"/>
              </w:rPr>
              <w:t xml:space="preserve"> Mancha Blanca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726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14,3</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proofErr w:type="spellStart"/>
            <w:r>
              <w:rPr>
                <w:rFonts w:ascii="Arial" w:hAnsi="Arial" w:cs="Arial"/>
                <w:sz w:val="16"/>
                <w:szCs w:val="16"/>
              </w:rPr>
              <w:t>Lesion</w:t>
            </w:r>
            <w:proofErr w:type="spellEnd"/>
            <w:r>
              <w:rPr>
                <w:rFonts w:ascii="Arial" w:hAnsi="Arial" w:cs="Arial"/>
                <w:sz w:val="16"/>
                <w:szCs w:val="16"/>
              </w:rPr>
              <w:t xml:space="preserve"> Mancha Café</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7,3</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sz w:val="16"/>
                <w:szCs w:val="16"/>
              </w:rPr>
            </w:pPr>
            <w:proofErr w:type="spellStart"/>
            <w:r>
              <w:rPr>
                <w:rFonts w:ascii="Arial" w:hAnsi="Arial" w:cs="Arial"/>
                <w:sz w:val="16"/>
                <w:szCs w:val="16"/>
              </w:rPr>
              <w:t>Fluorosis</w:t>
            </w:r>
            <w:proofErr w:type="spellEnd"/>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6,0</w:t>
            </w:r>
          </w:p>
        </w:tc>
      </w:tr>
      <w:tr w:rsidR="008D4421" w:rsidTr="00E967F7">
        <w:trPr>
          <w:trHeight w:val="300"/>
        </w:trPr>
        <w:tc>
          <w:tcPr>
            <w:tcW w:w="0" w:type="auto"/>
            <w:vMerge/>
            <w:tcBorders>
              <w:top w:val="nil"/>
              <w:left w:val="single" w:sz="4" w:space="0" w:color="auto"/>
              <w:bottom w:val="single" w:sz="4" w:space="0" w:color="000000"/>
              <w:right w:val="single" w:sz="4" w:space="0" w:color="auto"/>
            </w:tcBorders>
            <w:vAlign w:val="center"/>
            <w:hideMark/>
          </w:tcPr>
          <w:p w:rsidR="008D4421" w:rsidRDefault="008D4421" w:rsidP="00E967F7">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rPr>
                <w:rFonts w:ascii="Arial" w:hAnsi="Arial" w:cs="Arial"/>
                <w:color w:val="000000"/>
                <w:sz w:val="16"/>
                <w:szCs w:val="16"/>
              </w:rPr>
            </w:pPr>
            <w:r>
              <w:rPr>
                <w:rFonts w:ascii="Arial" w:hAnsi="Arial" w:cs="Arial"/>
                <w:color w:val="000000"/>
                <w:sz w:val="16"/>
                <w:szCs w:val="16"/>
              </w:rPr>
              <w:t>TOTAL</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color w:val="000000"/>
                <w:sz w:val="16"/>
                <w:szCs w:val="16"/>
              </w:rPr>
            </w:pPr>
            <w:r>
              <w:rPr>
                <w:rFonts w:ascii="Arial" w:hAnsi="Arial" w:cs="Arial"/>
                <w:color w:val="000000"/>
                <w:sz w:val="16"/>
                <w:szCs w:val="16"/>
              </w:rPr>
              <w:t>1350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100,0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color w:val="000000"/>
                <w:sz w:val="16"/>
                <w:szCs w:val="16"/>
              </w:rPr>
            </w:pPr>
            <w:r>
              <w:rPr>
                <w:rFonts w:ascii="Arial" w:hAnsi="Arial" w:cs="Arial"/>
                <w:color w:val="000000"/>
                <w:sz w:val="16"/>
                <w:szCs w:val="16"/>
              </w:rPr>
              <w:t>1950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100,0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color w:val="000000"/>
                <w:sz w:val="16"/>
                <w:szCs w:val="16"/>
              </w:rPr>
            </w:pPr>
            <w:r>
              <w:rPr>
                <w:rFonts w:ascii="Arial" w:hAnsi="Arial" w:cs="Arial"/>
                <w:color w:val="000000"/>
                <w:sz w:val="16"/>
                <w:szCs w:val="16"/>
              </w:rPr>
              <w:t>1663</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100,0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color w:val="000000"/>
                <w:sz w:val="16"/>
                <w:szCs w:val="16"/>
              </w:rPr>
            </w:pPr>
            <w:r>
              <w:rPr>
                <w:rFonts w:ascii="Arial" w:hAnsi="Arial" w:cs="Arial"/>
                <w:color w:val="000000"/>
                <w:sz w:val="16"/>
                <w:szCs w:val="16"/>
              </w:rPr>
              <w:t>121</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100,0</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center"/>
              <w:rPr>
                <w:rFonts w:ascii="Arial" w:hAnsi="Arial" w:cs="Arial"/>
                <w:sz w:val="16"/>
                <w:szCs w:val="16"/>
              </w:rPr>
            </w:pPr>
            <w:r>
              <w:rPr>
                <w:rFonts w:ascii="Arial" w:hAnsi="Arial" w:cs="Arial"/>
                <w:sz w:val="16"/>
                <w:szCs w:val="16"/>
              </w:rPr>
              <w:t>5084</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rsidR="008D4421" w:rsidRDefault="008D4421" w:rsidP="00E967F7">
            <w:pPr>
              <w:jc w:val="right"/>
              <w:rPr>
                <w:rFonts w:ascii="Arial" w:hAnsi="Arial" w:cs="Arial"/>
                <w:color w:val="000000"/>
                <w:sz w:val="16"/>
                <w:szCs w:val="16"/>
              </w:rPr>
            </w:pPr>
            <w:r>
              <w:rPr>
                <w:rFonts w:ascii="Arial" w:hAnsi="Arial" w:cs="Arial"/>
                <w:color w:val="000000"/>
                <w:sz w:val="16"/>
                <w:szCs w:val="16"/>
              </w:rPr>
              <w:t>100,0</w:t>
            </w:r>
          </w:p>
        </w:tc>
      </w:tr>
    </w:tbl>
    <w:p w:rsidR="008D4421" w:rsidRPr="00321D52" w:rsidRDefault="008D4421" w:rsidP="008D4421">
      <w:pPr>
        <w:spacing w:line="360" w:lineRule="auto"/>
        <w:jc w:val="both"/>
        <w:rPr>
          <w:rFonts w:ascii="Maiandra GD" w:hAnsi="Maiandra GD" w:cs="Arial"/>
          <w:bCs/>
          <w:sz w:val="18"/>
          <w:szCs w:val="24"/>
          <w:lang w:val="es-CO"/>
        </w:rPr>
      </w:pPr>
      <w:r w:rsidRPr="00321D52">
        <w:rPr>
          <w:rFonts w:ascii="Maiandra GD" w:hAnsi="Maiandra GD" w:cs="Arial"/>
          <w:b/>
          <w:bCs/>
          <w:sz w:val="18"/>
          <w:szCs w:val="24"/>
          <w:lang w:val="es-CO"/>
        </w:rPr>
        <w:t>FUENTE:</w:t>
      </w:r>
      <w:r w:rsidRPr="00321D52">
        <w:rPr>
          <w:rFonts w:ascii="Maiandra GD" w:hAnsi="Maiandra GD" w:cs="Arial"/>
          <w:bCs/>
          <w:sz w:val="18"/>
          <w:szCs w:val="24"/>
          <w:lang w:val="es-CO"/>
        </w:rPr>
        <w:t xml:space="preserve"> Bases de Datos SDS.  SISVESO Población Vigilancia Centine</w:t>
      </w:r>
      <w:r>
        <w:rPr>
          <w:rFonts w:ascii="Maiandra GD" w:hAnsi="Maiandra GD" w:cs="Arial"/>
          <w:bCs/>
          <w:sz w:val="18"/>
          <w:szCs w:val="24"/>
          <w:lang w:val="es-CO"/>
        </w:rPr>
        <w:t>la 2017 Localidad Suba</w:t>
      </w:r>
    </w:p>
    <w:p w:rsidR="00321D52" w:rsidRPr="0053454D" w:rsidRDefault="00321D52" w:rsidP="009D090C">
      <w:pPr>
        <w:spacing w:line="360" w:lineRule="auto"/>
        <w:jc w:val="both"/>
        <w:rPr>
          <w:rFonts w:ascii="Arial" w:hAnsi="Arial" w:cs="Arial"/>
          <w:bCs/>
          <w:lang w:val="es-CO"/>
        </w:rPr>
      </w:pPr>
      <w:r w:rsidRPr="0053454D">
        <w:rPr>
          <w:rFonts w:ascii="Arial" w:hAnsi="Arial" w:cs="Arial"/>
          <w:bCs/>
          <w:lang w:val="es-CO"/>
        </w:rPr>
        <w:t>A continuación se ilustra por medio magnético el  cómo influye  la salud oral   en todo el sistema general de la población, por lo cual se socializa un  caso de presunta negligencia con  alerta por presentar patologías de interés en salud oral, donde se realiza un análisis retrospectivo evidenciando  las variables más importantes como riesgo psicosocial, demoras en la atención rutas de salud, como influyo la nutrición en este paciente y porque este niño llega al  deterioro de salud oral, vulnerando sus derechos; por lo cual se socializan  las rutas de salud y continuar con el posicionamiento del SISVESO logrando una notificación con calidad y oportunidad, manteniendo actualizado los análisis de situación de calidad de vida y salud de la población a nivel local  como insumo Distrital para la planeación, monitoreo y evaluación de planes, programas y proyectos.</w:t>
      </w:r>
    </w:p>
    <w:p w:rsidR="003C420C" w:rsidRPr="0053454D" w:rsidRDefault="003C420C" w:rsidP="009D090C">
      <w:pPr>
        <w:spacing w:line="360" w:lineRule="auto"/>
        <w:jc w:val="both"/>
        <w:rPr>
          <w:rFonts w:ascii="Arial" w:hAnsi="Arial" w:cs="Arial"/>
          <w:bCs/>
          <w:lang w:val="es-CO"/>
        </w:rPr>
      </w:pPr>
    </w:p>
    <w:p w:rsidR="00F60971" w:rsidRPr="0053454D" w:rsidRDefault="004E6750" w:rsidP="009D090C">
      <w:pPr>
        <w:pStyle w:val="Prrafodelista"/>
        <w:numPr>
          <w:ilvl w:val="0"/>
          <w:numId w:val="24"/>
        </w:numPr>
        <w:spacing w:line="360" w:lineRule="auto"/>
        <w:jc w:val="both"/>
        <w:rPr>
          <w:rFonts w:ascii="Arial" w:hAnsi="Arial" w:cs="Arial"/>
          <w:b/>
        </w:rPr>
      </w:pPr>
      <w:r w:rsidRPr="0053454D">
        <w:rPr>
          <w:rFonts w:ascii="Arial" w:hAnsi="Arial" w:cs="Arial"/>
          <w:b/>
        </w:rPr>
        <w:t>Unidad de Análisis</w:t>
      </w:r>
      <w:r w:rsidR="001C20A1" w:rsidRPr="0053454D">
        <w:rPr>
          <w:rFonts w:ascii="Arial" w:hAnsi="Arial" w:cs="Arial"/>
          <w:b/>
        </w:rPr>
        <w:t xml:space="preserve"> SI</w:t>
      </w:r>
      <w:r w:rsidRPr="0053454D">
        <w:rPr>
          <w:rFonts w:ascii="Arial" w:hAnsi="Arial" w:cs="Arial"/>
          <w:b/>
        </w:rPr>
        <w:t>VISTRA - SISVESO</w:t>
      </w:r>
    </w:p>
    <w:p w:rsidR="001C20A1" w:rsidRPr="0053454D" w:rsidRDefault="001C20A1" w:rsidP="009D090C">
      <w:pPr>
        <w:spacing w:line="360" w:lineRule="auto"/>
        <w:jc w:val="both"/>
        <w:rPr>
          <w:rFonts w:ascii="Arial" w:hAnsi="Arial" w:cs="Arial"/>
        </w:rPr>
      </w:pPr>
      <w:r w:rsidRPr="0053454D">
        <w:rPr>
          <w:rFonts w:ascii="Arial" w:hAnsi="Arial" w:cs="Arial"/>
          <w:b/>
        </w:rPr>
        <w:t>Metodología:</w:t>
      </w:r>
      <w:r w:rsidRPr="0053454D">
        <w:rPr>
          <w:rFonts w:ascii="Arial" w:hAnsi="Arial" w:cs="Arial"/>
        </w:rPr>
        <w:t xml:space="preserve"> “</w:t>
      </w:r>
      <w:r w:rsidR="00962BC0" w:rsidRPr="0053454D">
        <w:rPr>
          <w:rFonts w:ascii="Arial" w:hAnsi="Arial" w:cs="Arial"/>
        </w:rPr>
        <w:t>Aplicación de cuestionario</w:t>
      </w:r>
      <w:r w:rsidR="00D339C2" w:rsidRPr="0053454D">
        <w:rPr>
          <w:rFonts w:ascii="Arial" w:hAnsi="Arial" w:cs="Arial"/>
        </w:rPr>
        <w:t xml:space="preserve"> taller</w:t>
      </w:r>
      <w:r w:rsidR="00962BC0" w:rsidRPr="0053454D">
        <w:rPr>
          <w:rFonts w:ascii="Arial" w:hAnsi="Arial" w:cs="Arial"/>
        </w:rPr>
        <w:t xml:space="preserve"> SIVISTRA - SISVESO</w:t>
      </w:r>
      <w:r w:rsidRPr="0053454D">
        <w:rPr>
          <w:rFonts w:ascii="Arial" w:hAnsi="Arial" w:cs="Arial"/>
        </w:rPr>
        <w:t xml:space="preserve">”. </w:t>
      </w:r>
      <w:r w:rsidR="00962BC0" w:rsidRPr="0053454D">
        <w:rPr>
          <w:rFonts w:ascii="Arial" w:hAnsi="Arial" w:cs="Arial"/>
        </w:rPr>
        <w:t xml:space="preserve">Total de 6 </w:t>
      </w:r>
      <w:r w:rsidRPr="0053454D">
        <w:rPr>
          <w:rFonts w:ascii="Arial" w:hAnsi="Arial" w:cs="Arial"/>
        </w:rPr>
        <w:t xml:space="preserve">preguntas de </w:t>
      </w:r>
      <w:r w:rsidR="00962BC0" w:rsidRPr="0053454D">
        <w:rPr>
          <w:rFonts w:ascii="Arial" w:hAnsi="Arial" w:cs="Arial"/>
        </w:rPr>
        <w:t>selección</w:t>
      </w:r>
      <w:r w:rsidRPr="0053454D">
        <w:rPr>
          <w:rFonts w:ascii="Arial" w:hAnsi="Arial" w:cs="Arial"/>
        </w:rPr>
        <w:t xml:space="preserve"> múltiple</w:t>
      </w:r>
      <w:r w:rsidR="00962BC0" w:rsidRPr="0053454D">
        <w:rPr>
          <w:rFonts w:ascii="Arial" w:hAnsi="Arial" w:cs="Arial"/>
        </w:rPr>
        <w:t xml:space="preserve"> con única respuesta</w:t>
      </w:r>
      <w:r w:rsidR="009B5CEC" w:rsidRPr="0053454D">
        <w:rPr>
          <w:rFonts w:ascii="Arial" w:hAnsi="Arial" w:cs="Arial"/>
        </w:rPr>
        <w:t xml:space="preserve"> </w:t>
      </w:r>
      <w:r w:rsidR="00962BC0" w:rsidRPr="0053454D">
        <w:rPr>
          <w:rFonts w:ascii="Arial" w:hAnsi="Arial" w:cs="Arial"/>
        </w:rPr>
        <w:t xml:space="preserve">incluyendo dos respuestas de falso y verdadero </w:t>
      </w:r>
      <w:r w:rsidR="009B5CEC" w:rsidRPr="0053454D">
        <w:rPr>
          <w:rFonts w:ascii="Arial" w:hAnsi="Arial" w:cs="Arial"/>
        </w:rPr>
        <w:t>(</w:t>
      </w:r>
      <w:r w:rsidR="00962BC0" w:rsidRPr="0053454D">
        <w:rPr>
          <w:rFonts w:ascii="Arial" w:hAnsi="Arial" w:cs="Arial"/>
        </w:rPr>
        <w:t>2 a 5</w:t>
      </w:r>
      <w:r w:rsidR="009B5CEC" w:rsidRPr="0053454D">
        <w:rPr>
          <w:rFonts w:ascii="Arial" w:hAnsi="Arial" w:cs="Arial"/>
        </w:rPr>
        <w:t xml:space="preserve"> posibilidades</w:t>
      </w:r>
      <w:r w:rsidR="00962BC0" w:rsidRPr="0053454D">
        <w:rPr>
          <w:rFonts w:ascii="Arial" w:hAnsi="Arial" w:cs="Arial"/>
        </w:rPr>
        <w:t xml:space="preserve"> de respuesta</w:t>
      </w:r>
      <w:r w:rsidR="009B5CEC" w:rsidRPr="0053454D">
        <w:rPr>
          <w:rFonts w:ascii="Arial" w:hAnsi="Arial" w:cs="Arial"/>
        </w:rPr>
        <w:t>)</w:t>
      </w:r>
      <w:r w:rsidRPr="0053454D">
        <w:rPr>
          <w:rFonts w:ascii="Arial" w:hAnsi="Arial" w:cs="Arial"/>
        </w:rPr>
        <w:t>.</w:t>
      </w:r>
    </w:p>
    <w:p w:rsidR="001C20A1" w:rsidRPr="0053454D" w:rsidRDefault="001C20A1" w:rsidP="009D090C">
      <w:pPr>
        <w:spacing w:line="360" w:lineRule="auto"/>
        <w:jc w:val="both"/>
        <w:rPr>
          <w:rFonts w:ascii="Arial" w:hAnsi="Arial" w:cs="Arial"/>
        </w:rPr>
      </w:pPr>
      <w:r w:rsidRPr="0053454D">
        <w:rPr>
          <w:rFonts w:ascii="Arial" w:hAnsi="Arial" w:cs="Arial"/>
          <w:b/>
        </w:rPr>
        <w:lastRenderedPageBreak/>
        <w:t>Objetivo:</w:t>
      </w:r>
      <w:r w:rsidRPr="0053454D">
        <w:rPr>
          <w:rFonts w:ascii="Arial" w:hAnsi="Arial" w:cs="Arial"/>
        </w:rPr>
        <w:t xml:space="preserve"> Evaluar los conocimientos adquiridos durante las presentaciones realizadas </w:t>
      </w:r>
      <w:r w:rsidR="00857FF9" w:rsidRPr="0053454D">
        <w:rPr>
          <w:rFonts w:ascii="Arial" w:hAnsi="Arial" w:cs="Arial"/>
        </w:rPr>
        <w:t xml:space="preserve">por los subsistemas SIVISTRA - SISVESO </w:t>
      </w:r>
      <w:r w:rsidRPr="0053454D">
        <w:rPr>
          <w:rFonts w:ascii="Arial" w:hAnsi="Arial" w:cs="Arial"/>
        </w:rPr>
        <w:t xml:space="preserve">en el espacio del COVE. </w:t>
      </w:r>
    </w:p>
    <w:p w:rsidR="001C20A1" w:rsidRPr="0053454D" w:rsidRDefault="009B5CEC" w:rsidP="009D090C">
      <w:pPr>
        <w:spacing w:line="360" w:lineRule="auto"/>
        <w:jc w:val="both"/>
        <w:rPr>
          <w:rFonts w:ascii="Arial" w:hAnsi="Arial" w:cs="Arial"/>
        </w:rPr>
      </w:pPr>
      <w:r w:rsidRPr="0053454D">
        <w:rPr>
          <w:rFonts w:ascii="Arial" w:hAnsi="Arial" w:cs="Arial"/>
        </w:rPr>
        <w:t>L</w:t>
      </w:r>
      <w:r w:rsidR="001C20A1" w:rsidRPr="0053454D">
        <w:rPr>
          <w:rFonts w:ascii="Arial" w:hAnsi="Arial" w:cs="Arial"/>
        </w:rPr>
        <w:t>as temáticas incluidas</w:t>
      </w:r>
      <w:r w:rsidR="005E4A5D" w:rsidRPr="0053454D">
        <w:rPr>
          <w:rFonts w:ascii="Arial" w:hAnsi="Arial" w:cs="Arial"/>
        </w:rPr>
        <w:t xml:space="preserve"> en el </w:t>
      </w:r>
      <w:r w:rsidR="00D339C2" w:rsidRPr="0053454D">
        <w:rPr>
          <w:rFonts w:ascii="Arial" w:hAnsi="Arial" w:cs="Arial"/>
        </w:rPr>
        <w:t>taller</w:t>
      </w:r>
      <w:r w:rsidR="001C20A1" w:rsidRPr="0053454D">
        <w:rPr>
          <w:rFonts w:ascii="Arial" w:hAnsi="Arial" w:cs="Arial"/>
        </w:rPr>
        <w:t xml:space="preserve"> </w:t>
      </w:r>
      <w:r w:rsidRPr="0053454D">
        <w:rPr>
          <w:rFonts w:ascii="Arial" w:hAnsi="Arial" w:cs="Arial"/>
        </w:rPr>
        <w:t>fueron</w:t>
      </w:r>
      <w:r w:rsidR="001C20A1" w:rsidRPr="0053454D">
        <w:rPr>
          <w:rFonts w:ascii="Arial" w:hAnsi="Arial" w:cs="Arial"/>
        </w:rPr>
        <w:t xml:space="preserve">: </w:t>
      </w:r>
    </w:p>
    <w:p w:rsidR="00857FF9" w:rsidRPr="0053454D" w:rsidRDefault="00857FF9" w:rsidP="009D090C">
      <w:pPr>
        <w:pStyle w:val="Prrafodelista"/>
        <w:numPr>
          <w:ilvl w:val="0"/>
          <w:numId w:val="9"/>
        </w:numPr>
        <w:spacing w:after="0" w:line="360" w:lineRule="auto"/>
        <w:jc w:val="both"/>
        <w:rPr>
          <w:rFonts w:ascii="Arial" w:hAnsi="Arial" w:cs="Arial"/>
        </w:rPr>
      </w:pPr>
      <w:r w:rsidRPr="0053454D">
        <w:rPr>
          <w:rFonts w:ascii="Arial" w:hAnsi="Arial" w:cs="Arial"/>
        </w:rPr>
        <w:t>Significado de la sigla SIVISTRA</w:t>
      </w:r>
    </w:p>
    <w:p w:rsidR="00857FF9" w:rsidRPr="0053454D" w:rsidRDefault="00857FF9" w:rsidP="009D090C">
      <w:pPr>
        <w:pStyle w:val="Prrafodelista"/>
        <w:numPr>
          <w:ilvl w:val="0"/>
          <w:numId w:val="9"/>
        </w:numPr>
        <w:spacing w:after="0" w:line="360" w:lineRule="auto"/>
        <w:jc w:val="both"/>
        <w:rPr>
          <w:rFonts w:ascii="Arial" w:hAnsi="Arial" w:cs="Arial"/>
        </w:rPr>
      </w:pPr>
      <w:r w:rsidRPr="0053454D">
        <w:rPr>
          <w:rFonts w:ascii="Arial" w:hAnsi="Arial" w:cs="Arial"/>
        </w:rPr>
        <w:t xml:space="preserve">Definición de Enfermedad Laboral </w:t>
      </w:r>
    </w:p>
    <w:p w:rsidR="00857FF9" w:rsidRPr="0053454D" w:rsidRDefault="00857FF9" w:rsidP="009D090C">
      <w:pPr>
        <w:pStyle w:val="Prrafodelista"/>
        <w:numPr>
          <w:ilvl w:val="0"/>
          <w:numId w:val="9"/>
        </w:numPr>
        <w:spacing w:after="0" w:line="360" w:lineRule="auto"/>
        <w:jc w:val="both"/>
        <w:rPr>
          <w:rFonts w:ascii="Arial" w:hAnsi="Arial" w:cs="Arial"/>
        </w:rPr>
      </w:pPr>
      <w:r w:rsidRPr="0053454D">
        <w:rPr>
          <w:rFonts w:ascii="Arial" w:hAnsi="Arial" w:cs="Arial"/>
        </w:rPr>
        <w:t>Riesgos asociados a las Enfermedades Laborales</w:t>
      </w:r>
    </w:p>
    <w:p w:rsidR="00857FF9" w:rsidRPr="0053454D" w:rsidRDefault="00857FF9" w:rsidP="009D090C">
      <w:pPr>
        <w:pStyle w:val="Prrafodelista"/>
        <w:numPr>
          <w:ilvl w:val="0"/>
          <w:numId w:val="9"/>
        </w:numPr>
        <w:spacing w:line="360" w:lineRule="auto"/>
        <w:jc w:val="both"/>
        <w:rPr>
          <w:rFonts w:ascii="Arial" w:hAnsi="Arial" w:cs="Arial"/>
        </w:rPr>
      </w:pPr>
      <w:r w:rsidRPr="0053454D">
        <w:rPr>
          <w:rFonts w:ascii="Arial" w:hAnsi="Arial" w:cs="Arial"/>
        </w:rPr>
        <w:t>Criterios de inclusión para el proceso de notificación inmediata</w:t>
      </w:r>
      <w:r w:rsidR="003A05A2" w:rsidRPr="0053454D">
        <w:rPr>
          <w:rFonts w:ascii="Arial" w:hAnsi="Arial" w:cs="Arial"/>
        </w:rPr>
        <w:t xml:space="preserve"> al subsistema SISVESO</w:t>
      </w:r>
    </w:p>
    <w:p w:rsidR="00857FF9" w:rsidRPr="0053454D" w:rsidRDefault="00857FF9" w:rsidP="009D090C">
      <w:pPr>
        <w:pStyle w:val="Prrafodelista"/>
        <w:numPr>
          <w:ilvl w:val="0"/>
          <w:numId w:val="9"/>
        </w:numPr>
        <w:spacing w:line="360" w:lineRule="auto"/>
        <w:jc w:val="both"/>
        <w:rPr>
          <w:rFonts w:ascii="Arial" w:hAnsi="Arial" w:cs="Arial"/>
        </w:rPr>
      </w:pPr>
      <w:r w:rsidRPr="0053454D">
        <w:rPr>
          <w:rFonts w:ascii="Arial" w:hAnsi="Arial" w:cs="Arial"/>
        </w:rPr>
        <w:t>Activación de Rutas Interinstitucionales</w:t>
      </w:r>
      <w:r w:rsidR="003A05A2" w:rsidRPr="0053454D">
        <w:rPr>
          <w:rFonts w:ascii="Arial" w:hAnsi="Arial" w:cs="Arial"/>
        </w:rPr>
        <w:t xml:space="preserve"> en el caso socializado</w:t>
      </w:r>
      <w:r w:rsidRPr="0053454D">
        <w:rPr>
          <w:rFonts w:ascii="Arial" w:hAnsi="Arial" w:cs="Arial"/>
        </w:rPr>
        <w:t xml:space="preserve"> </w:t>
      </w:r>
    </w:p>
    <w:p w:rsidR="001C20A1" w:rsidRPr="0053454D" w:rsidRDefault="00857FF9" w:rsidP="009D090C">
      <w:pPr>
        <w:pStyle w:val="Prrafodelista"/>
        <w:numPr>
          <w:ilvl w:val="0"/>
          <w:numId w:val="9"/>
        </w:numPr>
        <w:spacing w:line="360" w:lineRule="auto"/>
        <w:jc w:val="both"/>
        <w:rPr>
          <w:rFonts w:ascii="Arial" w:hAnsi="Arial" w:cs="Arial"/>
        </w:rPr>
      </w:pPr>
      <w:r w:rsidRPr="0053454D">
        <w:rPr>
          <w:rFonts w:ascii="Arial" w:hAnsi="Arial" w:cs="Arial"/>
        </w:rPr>
        <w:t>La importancia de fortalecer protocolos de atención, rutas de salud y eventos a vigilar en salud oral</w:t>
      </w:r>
    </w:p>
    <w:p w:rsidR="00C0283E" w:rsidRPr="0053454D" w:rsidRDefault="00C0283E" w:rsidP="009D090C">
      <w:pPr>
        <w:spacing w:line="360" w:lineRule="auto"/>
        <w:jc w:val="both"/>
        <w:rPr>
          <w:rFonts w:ascii="Arial" w:hAnsi="Arial" w:cs="Arial"/>
        </w:rPr>
      </w:pPr>
      <w:r w:rsidRPr="0053454D">
        <w:rPr>
          <w:rFonts w:ascii="Arial" w:hAnsi="Arial" w:cs="Arial"/>
        </w:rPr>
        <w:t xml:space="preserve">Se contó con </w:t>
      </w:r>
      <w:r w:rsidR="005015DD" w:rsidRPr="0053454D">
        <w:rPr>
          <w:rFonts w:ascii="Arial" w:hAnsi="Arial" w:cs="Arial"/>
        </w:rPr>
        <w:t xml:space="preserve">espacio físico adecuado (Auditorio), video </w:t>
      </w:r>
      <w:proofErr w:type="spellStart"/>
      <w:r w:rsidR="005015DD" w:rsidRPr="0053454D">
        <w:rPr>
          <w:rFonts w:ascii="Arial" w:hAnsi="Arial" w:cs="Arial"/>
        </w:rPr>
        <w:t>beam</w:t>
      </w:r>
      <w:proofErr w:type="spellEnd"/>
      <w:r w:rsidR="005015DD" w:rsidRPr="0053454D">
        <w:rPr>
          <w:rFonts w:ascii="Arial" w:hAnsi="Arial" w:cs="Arial"/>
        </w:rPr>
        <w:t xml:space="preserve"> y</w:t>
      </w:r>
      <w:r w:rsidRPr="0053454D">
        <w:rPr>
          <w:rFonts w:ascii="Arial" w:hAnsi="Arial" w:cs="Arial"/>
        </w:rPr>
        <w:t xml:space="preserve"> presentaci</w:t>
      </w:r>
      <w:r w:rsidR="005015DD" w:rsidRPr="0053454D">
        <w:rPr>
          <w:rFonts w:ascii="Arial" w:hAnsi="Arial" w:cs="Arial"/>
        </w:rPr>
        <w:t xml:space="preserve">ones </w:t>
      </w:r>
      <w:r w:rsidRPr="0053454D">
        <w:rPr>
          <w:rFonts w:ascii="Arial" w:hAnsi="Arial" w:cs="Arial"/>
        </w:rPr>
        <w:t xml:space="preserve">en </w:t>
      </w:r>
      <w:proofErr w:type="spellStart"/>
      <w:r w:rsidR="00730B97" w:rsidRPr="0053454D">
        <w:rPr>
          <w:rFonts w:ascii="Arial" w:hAnsi="Arial" w:cs="Arial"/>
        </w:rPr>
        <w:t>Power</w:t>
      </w:r>
      <w:proofErr w:type="spellEnd"/>
      <w:r w:rsidR="00730B97" w:rsidRPr="0053454D">
        <w:rPr>
          <w:rFonts w:ascii="Arial" w:hAnsi="Arial" w:cs="Arial"/>
        </w:rPr>
        <w:t xml:space="preserve"> Point</w:t>
      </w:r>
      <w:r w:rsidRPr="0053454D">
        <w:rPr>
          <w:rFonts w:ascii="Arial" w:hAnsi="Arial" w:cs="Arial"/>
        </w:rPr>
        <w:t xml:space="preserve">. </w:t>
      </w:r>
      <w:r w:rsidR="009B5CEC" w:rsidRPr="0053454D">
        <w:rPr>
          <w:rFonts w:ascii="Arial" w:hAnsi="Arial" w:cs="Arial"/>
        </w:rPr>
        <w:t xml:space="preserve">Se </w:t>
      </w:r>
      <w:r w:rsidR="005015DD" w:rsidRPr="0053454D">
        <w:rPr>
          <w:rFonts w:ascii="Arial" w:hAnsi="Arial" w:cs="Arial"/>
        </w:rPr>
        <w:t>le hizo entrega a cada participante una hoja de preguntas para contestar y entregar a las organizadoras del COVE</w:t>
      </w:r>
      <w:r w:rsidR="00D339C2" w:rsidRPr="0053454D">
        <w:rPr>
          <w:rFonts w:ascii="Arial" w:hAnsi="Arial" w:cs="Arial"/>
        </w:rPr>
        <w:t>, al finalizar se socializa y retroalimenta las</w:t>
      </w:r>
      <w:r w:rsidR="00B30DD0" w:rsidRPr="0053454D">
        <w:rPr>
          <w:rFonts w:ascii="Arial" w:hAnsi="Arial" w:cs="Arial"/>
        </w:rPr>
        <w:t xml:space="preserve"> respuestas correctas</w:t>
      </w:r>
      <w:r w:rsidRPr="0053454D">
        <w:rPr>
          <w:rFonts w:ascii="Arial" w:hAnsi="Arial" w:cs="Arial"/>
        </w:rPr>
        <w:t xml:space="preserve">. </w:t>
      </w:r>
    </w:p>
    <w:p w:rsidR="008632C6" w:rsidRPr="0053454D" w:rsidRDefault="008632C6" w:rsidP="009D090C">
      <w:pPr>
        <w:spacing w:line="360" w:lineRule="auto"/>
        <w:jc w:val="both"/>
        <w:rPr>
          <w:rFonts w:ascii="Arial" w:hAnsi="Arial" w:cs="Arial"/>
        </w:rPr>
      </w:pPr>
    </w:p>
    <w:p w:rsidR="00563C43" w:rsidRPr="0053454D" w:rsidRDefault="00393B4F" w:rsidP="009D090C">
      <w:pPr>
        <w:spacing w:line="360" w:lineRule="auto"/>
        <w:jc w:val="both"/>
        <w:rPr>
          <w:rFonts w:ascii="Arial" w:hAnsi="Arial" w:cs="Arial"/>
          <w:b/>
        </w:rPr>
      </w:pPr>
      <w:r w:rsidRPr="0053454D">
        <w:rPr>
          <w:rFonts w:ascii="Arial" w:hAnsi="Arial" w:cs="Arial"/>
          <w:b/>
        </w:rPr>
        <w:t>Gráficas</w:t>
      </w:r>
      <w:r w:rsidR="003E516D" w:rsidRPr="0053454D">
        <w:rPr>
          <w:rFonts w:ascii="Arial" w:hAnsi="Arial" w:cs="Arial"/>
          <w:b/>
        </w:rPr>
        <w:t xml:space="preserve"> de</w:t>
      </w:r>
      <w:r w:rsidR="00563C43" w:rsidRPr="0053454D">
        <w:rPr>
          <w:rFonts w:ascii="Arial" w:hAnsi="Arial" w:cs="Arial"/>
          <w:b/>
        </w:rPr>
        <w:t xml:space="preserve"> </w:t>
      </w:r>
      <w:r w:rsidR="003764B7" w:rsidRPr="0053454D">
        <w:rPr>
          <w:rFonts w:ascii="Arial" w:hAnsi="Arial" w:cs="Arial"/>
          <w:b/>
        </w:rPr>
        <w:t>Resultados</w:t>
      </w:r>
      <w:r w:rsidR="00A6568D" w:rsidRPr="0053454D">
        <w:rPr>
          <w:rFonts w:ascii="Arial" w:hAnsi="Arial" w:cs="Arial"/>
          <w:b/>
        </w:rPr>
        <w:t xml:space="preserve"> </w:t>
      </w:r>
      <w:r w:rsidR="00563C43" w:rsidRPr="0053454D">
        <w:rPr>
          <w:rFonts w:ascii="Arial" w:hAnsi="Arial" w:cs="Arial"/>
          <w:b/>
        </w:rPr>
        <w:t>Unidad de análisis SI</w:t>
      </w:r>
      <w:r w:rsidR="005D1467" w:rsidRPr="0053454D">
        <w:rPr>
          <w:rFonts w:ascii="Arial" w:hAnsi="Arial" w:cs="Arial"/>
          <w:b/>
        </w:rPr>
        <w:t>VISTRA</w:t>
      </w:r>
      <w:r w:rsidR="003764B7" w:rsidRPr="0053454D">
        <w:rPr>
          <w:rFonts w:ascii="Arial" w:hAnsi="Arial" w:cs="Arial"/>
          <w:b/>
        </w:rPr>
        <w:t xml:space="preserve"> – SISVESO.</w:t>
      </w:r>
    </w:p>
    <w:p w:rsidR="00393B4F" w:rsidRPr="0053454D" w:rsidRDefault="00A6568D" w:rsidP="009D090C">
      <w:pPr>
        <w:spacing w:line="360" w:lineRule="auto"/>
        <w:jc w:val="both"/>
        <w:rPr>
          <w:rFonts w:ascii="Arial" w:hAnsi="Arial" w:cs="Arial"/>
        </w:rPr>
      </w:pPr>
      <w:r w:rsidRPr="0053454D">
        <w:rPr>
          <w:rFonts w:ascii="Arial" w:hAnsi="Arial" w:cs="Arial"/>
        </w:rPr>
        <w:t xml:space="preserve">Se cuenta con un total de </w:t>
      </w:r>
      <w:r w:rsidR="003C420C" w:rsidRPr="0053454D">
        <w:rPr>
          <w:rFonts w:ascii="Arial" w:hAnsi="Arial" w:cs="Arial"/>
        </w:rPr>
        <w:t>36</w:t>
      </w:r>
      <w:r w:rsidRPr="0053454D">
        <w:rPr>
          <w:rFonts w:ascii="Arial" w:hAnsi="Arial" w:cs="Arial"/>
        </w:rPr>
        <w:t xml:space="preserve"> </w:t>
      </w:r>
      <w:r w:rsidR="005C5057" w:rsidRPr="0053454D">
        <w:rPr>
          <w:rFonts w:ascii="Arial" w:hAnsi="Arial" w:cs="Arial"/>
        </w:rPr>
        <w:t xml:space="preserve">cuestionarios </w:t>
      </w:r>
      <w:r w:rsidR="00AF4AFC" w:rsidRPr="0053454D">
        <w:rPr>
          <w:rFonts w:ascii="Arial" w:hAnsi="Arial" w:cs="Arial"/>
        </w:rPr>
        <w:t xml:space="preserve"> tabulados de </w:t>
      </w:r>
      <w:r w:rsidRPr="0053454D">
        <w:rPr>
          <w:rFonts w:ascii="Arial" w:hAnsi="Arial" w:cs="Arial"/>
        </w:rPr>
        <w:t xml:space="preserve">la localidad de </w:t>
      </w:r>
      <w:r w:rsidR="003C420C" w:rsidRPr="0053454D">
        <w:rPr>
          <w:rFonts w:ascii="Arial" w:hAnsi="Arial" w:cs="Arial"/>
        </w:rPr>
        <w:t>USAQUÉN</w:t>
      </w:r>
      <w:r w:rsidR="003764B7" w:rsidRPr="0053454D">
        <w:rPr>
          <w:rFonts w:ascii="Arial" w:hAnsi="Arial" w:cs="Arial"/>
        </w:rPr>
        <w:t>.</w:t>
      </w:r>
    </w:p>
    <w:p w:rsidR="00C92A08" w:rsidRPr="0053454D" w:rsidRDefault="00393B4F" w:rsidP="009D090C">
      <w:pPr>
        <w:spacing w:line="360" w:lineRule="auto"/>
        <w:jc w:val="both"/>
        <w:rPr>
          <w:rFonts w:ascii="Arial" w:hAnsi="Arial" w:cs="Arial"/>
        </w:rPr>
      </w:pPr>
      <w:r w:rsidRPr="0053454D">
        <w:rPr>
          <w:rFonts w:ascii="Arial" w:hAnsi="Arial" w:cs="Arial"/>
        </w:rPr>
        <w:t>Con base a las respuestas obtenidas</w:t>
      </w:r>
      <w:r w:rsidR="003E516D" w:rsidRPr="0053454D">
        <w:rPr>
          <w:rFonts w:ascii="Arial" w:hAnsi="Arial" w:cs="Arial"/>
        </w:rPr>
        <w:t xml:space="preserve"> tabuladas</w:t>
      </w:r>
      <w:r w:rsidRPr="0053454D">
        <w:rPr>
          <w:rFonts w:ascii="Arial" w:hAnsi="Arial" w:cs="Arial"/>
        </w:rPr>
        <w:t xml:space="preserve">, se logra evidenciar compresión frente a la temática </w:t>
      </w:r>
      <w:r w:rsidR="003E516D" w:rsidRPr="0053454D">
        <w:rPr>
          <w:rFonts w:ascii="Arial" w:hAnsi="Arial" w:cs="Arial"/>
        </w:rPr>
        <w:t>SIVISTRA</w:t>
      </w:r>
      <w:r w:rsidR="007A2F06" w:rsidRPr="0053454D">
        <w:rPr>
          <w:rFonts w:ascii="Arial" w:hAnsi="Arial" w:cs="Arial"/>
        </w:rPr>
        <w:t xml:space="preserve">- SISVESO </w:t>
      </w:r>
      <w:r w:rsidRPr="0053454D">
        <w:rPr>
          <w:rFonts w:ascii="Arial" w:hAnsi="Arial" w:cs="Arial"/>
        </w:rPr>
        <w:t>socializada en el COVE</w:t>
      </w:r>
      <w:r w:rsidR="00840D97" w:rsidRPr="0053454D">
        <w:rPr>
          <w:rFonts w:ascii="Arial" w:hAnsi="Arial" w:cs="Arial"/>
        </w:rPr>
        <w:t xml:space="preserve"> de la</w:t>
      </w:r>
      <w:r w:rsidR="003E516D" w:rsidRPr="0053454D">
        <w:rPr>
          <w:rFonts w:ascii="Arial" w:hAnsi="Arial" w:cs="Arial"/>
        </w:rPr>
        <w:t xml:space="preserve"> localidad </w:t>
      </w:r>
      <w:r w:rsidR="00840D97" w:rsidRPr="0053454D">
        <w:rPr>
          <w:rFonts w:ascii="Arial" w:hAnsi="Arial" w:cs="Arial"/>
        </w:rPr>
        <w:t xml:space="preserve">de </w:t>
      </w:r>
      <w:r w:rsidR="003C420C" w:rsidRPr="0053454D">
        <w:rPr>
          <w:rFonts w:ascii="Arial" w:hAnsi="Arial" w:cs="Arial"/>
        </w:rPr>
        <w:t>Usaquén</w:t>
      </w:r>
      <w:r w:rsidRPr="0053454D">
        <w:rPr>
          <w:rFonts w:ascii="Arial" w:hAnsi="Arial" w:cs="Arial"/>
        </w:rPr>
        <w:t>, encontrando un porcentaje mayor de las respuestas correctas.</w:t>
      </w:r>
    </w:p>
    <w:p w:rsidR="00393B4F" w:rsidRPr="0053454D" w:rsidRDefault="00393B4F" w:rsidP="009D090C">
      <w:pPr>
        <w:spacing w:line="360" w:lineRule="auto"/>
        <w:jc w:val="both"/>
        <w:rPr>
          <w:rFonts w:ascii="Arial" w:hAnsi="Arial" w:cs="Arial"/>
          <w:b/>
        </w:rPr>
      </w:pPr>
      <w:r w:rsidRPr="0053454D">
        <w:rPr>
          <w:rFonts w:ascii="Arial" w:hAnsi="Arial" w:cs="Arial"/>
          <w:b/>
        </w:rPr>
        <w:t>Respuestas correctas:</w:t>
      </w:r>
    </w:p>
    <w:p w:rsidR="00393B4F" w:rsidRPr="0053454D" w:rsidRDefault="00393B4F" w:rsidP="009D090C">
      <w:pPr>
        <w:spacing w:line="360" w:lineRule="auto"/>
        <w:jc w:val="both"/>
        <w:rPr>
          <w:rFonts w:ascii="Arial" w:hAnsi="Arial" w:cs="Arial"/>
        </w:rPr>
      </w:pPr>
      <w:r w:rsidRPr="0053454D">
        <w:rPr>
          <w:rFonts w:ascii="Arial" w:hAnsi="Arial" w:cs="Arial"/>
        </w:rPr>
        <w:t>Pregunta 1. Respuesta correcta “B”</w:t>
      </w:r>
    </w:p>
    <w:p w:rsidR="00393B4F" w:rsidRPr="0053454D" w:rsidRDefault="00393B4F" w:rsidP="009D090C">
      <w:pPr>
        <w:spacing w:line="360" w:lineRule="auto"/>
        <w:jc w:val="both"/>
        <w:rPr>
          <w:rFonts w:ascii="Arial" w:hAnsi="Arial" w:cs="Arial"/>
        </w:rPr>
      </w:pPr>
      <w:r w:rsidRPr="0053454D">
        <w:rPr>
          <w:rFonts w:ascii="Arial" w:hAnsi="Arial" w:cs="Arial"/>
        </w:rPr>
        <w:t>Pregunta 2. Respuesta correcta “A”</w:t>
      </w:r>
    </w:p>
    <w:p w:rsidR="00393B4F" w:rsidRPr="0053454D" w:rsidRDefault="00393B4F" w:rsidP="009D090C">
      <w:pPr>
        <w:spacing w:line="360" w:lineRule="auto"/>
        <w:jc w:val="both"/>
        <w:rPr>
          <w:rFonts w:ascii="Arial" w:hAnsi="Arial" w:cs="Arial"/>
        </w:rPr>
      </w:pPr>
      <w:r w:rsidRPr="0053454D">
        <w:rPr>
          <w:rFonts w:ascii="Arial" w:hAnsi="Arial" w:cs="Arial"/>
        </w:rPr>
        <w:t>Pregunta 3. Respuesta correcta “A”</w:t>
      </w:r>
    </w:p>
    <w:p w:rsidR="00913DCA" w:rsidRPr="0053454D" w:rsidRDefault="00913DCA" w:rsidP="009D090C">
      <w:pPr>
        <w:spacing w:line="360" w:lineRule="auto"/>
        <w:jc w:val="both"/>
        <w:rPr>
          <w:rFonts w:ascii="Arial" w:hAnsi="Arial" w:cs="Arial"/>
        </w:rPr>
      </w:pPr>
      <w:r w:rsidRPr="0053454D">
        <w:rPr>
          <w:rFonts w:ascii="Arial" w:hAnsi="Arial" w:cs="Arial"/>
        </w:rPr>
        <w:t xml:space="preserve">Pregunta </w:t>
      </w:r>
      <w:r w:rsidR="002852ED" w:rsidRPr="0053454D">
        <w:rPr>
          <w:rFonts w:ascii="Arial" w:hAnsi="Arial" w:cs="Arial"/>
        </w:rPr>
        <w:t>4</w:t>
      </w:r>
      <w:r w:rsidRPr="0053454D">
        <w:rPr>
          <w:rFonts w:ascii="Arial" w:hAnsi="Arial" w:cs="Arial"/>
        </w:rPr>
        <w:t>. Respuesta correcta “E”</w:t>
      </w:r>
    </w:p>
    <w:p w:rsidR="00E41B3C" w:rsidRPr="0053454D" w:rsidRDefault="00913DCA" w:rsidP="009D090C">
      <w:pPr>
        <w:spacing w:line="360" w:lineRule="auto"/>
        <w:jc w:val="both"/>
        <w:rPr>
          <w:rFonts w:ascii="Arial" w:hAnsi="Arial" w:cs="Arial"/>
        </w:rPr>
      </w:pPr>
      <w:r w:rsidRPr="0053454D">
        <w:rPr>
          <w:rFonts w:ascii="Arial" w:hAnsi="Arial" w:cs="Arial"/>
        </w:rPr>
        <w:t xml:space="preserve">Pregunta </w:t>
      </w:r>
      <w:r w:rsidR="002852ED" w:rsidRPr="0053454D">
        <w:rPr>
          <w:rFonts w:ascii="Arial" w:hAnsi="Arial" w:cs="Arial"/>
        </w:rPr>
        <w:t>5</w:t>
      </w:r>
      <w:r w:rsidRPr="0053454D">
        <w:rPr>
          <w:rFonts w:ascii="Arial" w:hAnsi="Arial" w:cs="Arial"/>
        </w:rPr>
        <w:t>. Respuesta correcta “B”</w:t>
      </w:r>
    </w:p>
    <w:p w:rsidR="00913DCA" w:rsidRPr="0053454D" w:rsidRDefault="00913DCA" w:rsidP="009D090C">
      <w:pPr>
        <w:spacing w:line="360" w:lineRule="auto"/>
        <w:jc w:val="both"/>
        <w:rPr>
          <w:rFonts w:ascii="Arial" w:hAnsi="Arial" w:cs="Arial"/>
        </w:rPr>
      </w:pPr>
      <w:r w:rsidRPr="0053454D">
        <w:rPr>
          <w:rFonts w:ascii="Arial" w:hAnsi="Arial" w:cs="Arial"/>
        </w:rPr>
        <w:t xml:space="preserve">Pregunta </w:t>
      </w:r>
      <w:r w:rsidR="002852ED" w:rsidRPr="0053454D">
        <w:rPr>
          <w:rFonts w:ascii="Arial" w:hAnsi="Arial" w:cs="Arial"/>
        </w:rPr>
        <w:t>6</w:t>
      </w:r>
      <w:r w:rsidRPr="0053454D">
        <w:rPr>
          <w:rFonts w:ascii="Arial" w:hAnsi="Arial" w:cs="Arial"/>
        </w:rPr>
        <w:t>. Respuesta correcta “A”</w:t>
      </w:r>
    </w:p>
    <w:p w:rsidR="00913DCA" w:rsidRPr="0053454D" w:rsidRDefault="00913DCA" w:rsidP="009D090C">
      <w:pPr>
        <w:spacing w:line="360" w:lineRule="auto"/>
        <w:jc w:val="both"/>
        <w:rPr>
          <w:rFonts w:ascii="Arial" w:hAnsi="Arial" w:cs="Arial"/>
        </w:rPr>
      </w:pPr>
    </w:p>
    <w:p w:rsidR="00374FB1" w:rsidRDefault="00374FB1" w:rsidP="00374FB1">
      <w:pPr>
        <w:spacing w:line="240" w:lineRule="auto"/>
        <w:rPr>
          <w:rFonts w:ascii="Maiandra GD" w:hAnsi="Maiandra GD" w:cs="Arial"/>
          <w:b/>
          <w:color w:val="634545" w:themeColor="accent6" w:themeShade="BF"/>
          <w:sz w:val="24"/>
          <w:szCs w:val="24"/>
        </w:rPr>
      </w:pPr>
      <w:r>
        <w:rPr>
          <w:rFonts w:ascii="Maiandra GD" w:hAnsi="Maiandra GD" w:cs="Arial"/>
          <w:b/>
          <w:color w:val="634545" w:themeColor="accent6" w:themeShade="BF"/>
          <w:sz w:val="24"/>
          <w:szCs w:val="24"/>
        </w:rPr>
        <w:t xml:space="preserve">Grafica 1. </w:t>
      </w:r>
      <w:r w:rsidRPr="00681A35">
        <w:rPr>
          <w:rFonts w:ascii="Maiandra GD" w:hAnsi="Maiandra GD" w:cs="Arial"/>
          <w:color w:val="000000" w:themeColor="text1"/>
          <w:sz w:val="24"/>
          <w:szCs w:val="24"/>
        </w:rPr>
        <w:t>Distribución de personas, según conocimiento de la Sigla SIVISTRA.</w:t>
      </w:r>
    </w:p>
    <w:p w:rsidR="00374FB1" w:rsidRDefault="00374FB1" w:rsidP="00374FB1">
      <w:pPr>
        <w:spacing w:after="0" w:line="240" w:lineRule="auto"/>
        <w:jc w:val="both"/>
        <w:rPr>
          <w:rFonts w:ascii="Maiandra GD" w:hAnsi="Maiandra GD" w:cs="Arial"/>
          <w:sz w:val="24"/>
          <w:szCs w:val="24"/>
        </w:rPr>
      </w:pPr>
      <w:r>
        <w:rPr>
          <w:rFonts w:ascii="Maiandra GD" w:hAnsi="Maiandra GD" w:cs="Arial"/>
          <w:noProof/>
          <w:sz w:val="24"/>
          <w:szCs w:val="24"/>
          <w:lang w:val="es-MX" w:eastAsia="es-MX"/>
        </w:rPr>
        <w:lastRenderedPageBreak/>
        <w:drawing>
          <wp:inline distT="0" distB="0" distL="0" distR="0" wp14:anchorId="5F52567F" wp14:editId="74CD219F">
            <wp:extent cx="5400675" cy="19621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1962150"/>
                    </a:xfrm>
                    <a:prstGeom prst="rect">
                      <a:avLst/>
                    </a:prstGeom>
                    <a:noFill/>
                    <a:ln>
                      <a:noFill/>
                    </a:ln>
                  </pic:spPr>
                </pic:pic>
              </a:graphicData>
            </a:graphic>
          </wp:inline>
        </w:drawing>
      </w:r>
    </w:p>
    <w:p w:rsidR="00374FB1" w:rsidRDefault="00374FB1" w:rsidP="00374FB1">
      <w:pPr>
        <w:spacing w:after="0" w:line="240" w:lineRule="auto"/>
        <w:ind w:firstLine="708"/>
        <w:rPr>
          <w:rFonts w:ascii="Maiandra GD" w:hAnsi="Maiandra GD" w:cs="Arial"/>
          <w:sz w:val="16"/>
          <w:szCs w:val="24"/>
        </w:rPr>
      </w:pPr>
      <w:r w:rsidRPr="00326633">
        <w:rPr>
          <w:rFonts w:ascii="Maiandra GD" w:hAnsi="Maiandra GD" w:cs="Arial"/>
          <w:b/>
          <w:sz w:val="16"/>
          <w:szCs w:val="24"/>
        </w:rPr>
        <w:t>Fuente.</w:t>
      </w:r>
      <w:r w:rsidRPr="00C92A08">
        <w:rPr>
          <w:rFonts w:ascii="Maiandra GD" w:hAnsi="Maiandra GD" w:cs="Arial"/>
          <w:sz w:val="16"/>
          <w:szCs w:val="24"/>
        </w:rPr>
        <w:t xml:space="preserve"> Respuestas Cuestionario Taller SIVISTRA – SISVESO COVE localidad </w:t>
      </w:r>
      <w:r>
        <w:rPr>
          <w:rFonts w:ascii="Maiandra GD" w:hAnsi="Maiandra GD" w:cs="Arial"/>
          <w:sz w:val="16"/>
          <w:szCs w:val="24"/>
        </w:rPr>
        <w:t>Suba</w:t>
      </w:r>
      <w:r w:rsidRPr="00C92A08">
        <w:rPr>
          <w:rFonts w:ascii="Maiandra GD" w:hAnsi="Maiandra GD" w:cs="Arial"/>
          <w:sz w:val="16"/>
          <w:szCs w:val="24"/>
        </w:rPr>
        <w:t>.</w:t>
      </w:r>
    </w:p>
    <w:p w:rsidR="00374FB1" w:rsidRDefault="00374FB1" w:rsidP="00374FB1">
      <w:pPr>
        <w:spacing w:line="240" w:lineRule="auto"/>
        <w:rPr>
          <w:rFonts w:ascii="Maiandra GD" w:hAnsi="Maiandra GD" w:cs="Arial"/>
          <w:b/>
          <w:color w:val="634545" w:themeColor="accent6" w:themeShade="BF"/>
          <w:sz w:val="24"/>
          <w:szCs w:val="24"/>
        </w:rPr>
      </w:pPr>
    </w:p>
    <w:p w:rsidR="00374FB1" w:rsidRDefault="00374FB1" w:rsidP="00374FB1">
      <w:pPr>
        <w:spacing w:line="360" w:lineRule="auto"/>
        <w:jc w:val="both"/>
        <w:rPr>
          <w:rFonts w:ascii="Maiandra GD" w:hAnsi="Maiandra GD" w:cs="Arial"/>
          <w:sz w:val="24"/>
          <w:szCs w:val="24"/>
        </w:rPr>
      </w:pPr>
      <w:r w:rsidRPr="00805C7F">
        <w:rPr>
          <w:rFonts w:ascii="Maiandra GD" w:hAnsi="Maiandra GD" w:cs="Arial"/>
          <w:sz w:val="24"/>
          <w:szCs w:val="24"/>
        </w:rPr>
        <w:t xml:space="preserve">Se evidencia la claridad </w:t>
      </w:r>
      <w:r>
        <w:rPr>
          <w:rFonts w:ascii="Maiandra GD" w:hAnsi="Maiandra GD" w:cs="Arial"/>
          <w:sz w:val="24"/>
          <w:szCs w:val="24"/>
        </w:rPr>
        <w:t xml:space="preserve">de la respuesta correcta </w:t>
      </w:r>
      <w:r w:rsidRPr="00805C7F">
        <w:rPr>
          <w:rFonts w:ascii="Maiandra GD" w:hAnsi="Maiandra GD" w:cs="Arial"/>
          <w:sz w:val="24"/>
          <w:szCs w:val="24"/>
        </w:rPr>
        <w:t xml:space="preserve">por parte del </w:t>
      </w:r>
      <w:r>
        <w:rPr>
          <w:rFonts w:ascii="Maiandra GD" w:hAnsi="Maiandra GD" w:cs="Arial"/>
          <w:sz w:val="24"/>
          <w:szCs w:val="24"/>
        </w:rPr>
        <w:t>92,7</w:t>
      </w:r>
      <w:r w:rsidRPr="00805C7F">
        <w:rPr>
          <w:rFonts w:ascii="Maiandra GD" w:hAnsi="Maiandra GD" w:cs="Arial"/>
          <w:sz w:val="24"/>
          <w:szCs w:val="24"/>
        </w:rPr>
        <w:t xml:space="preserve">% de los participantes respecto a la definición de la sigla SIVISTRA,  sin embargo no es claro el concepto para  un </w:t>
      </w:r>
      <w:r>
        <w:rPr>
          <w:rFonts w:ascii="Maiandra GD" w:hAnsi="Maiandra GD" w:cs="Arial"/>
          <w:sz w:val="24"/>
          <w:szCs w:val="24"/>
        </w:rPr>
        <w:t>7,3</w:t>
      </w:r>
      <w:r w:rsidRPr="00805C7F">
        <w:rPr>
          <w:rFonts w:ascii="Maiandra GD" w:hAnsi="Maiandra GD" w:cs="Arial"/>
          <w:sz w:val="24"/>
          <w:szCs w:val="24"/>
        </w:rPr>
        <w:t xml:space="preserve">%. </w:t>
      </w: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Pr="0093443B" w:rsidRDefault="00374FB1" w:rsidP="00374FB1">
      <w:pPr>
        <w:spacing w:after="0" w:line="240" w:lineRule="auto"/>
        <w:rPr>
          <w:rFonts w:ascii="Maiandra GD" w:hAnsi="Maiandra GD" w:cs="Arial"/>
          <w:b/>
          <w:color w:val="634545" w:themeColor="accent6" w:themeShade="BF"/>
          <w:sz w:val="24"/>
          <w:szCs w:val="24"/>
        </w:rPr>
      </w:pPr>
      <w:r>
        <w:rPr>
          <w:rFonts w:ascii="Maiandra GD" w:hAnsi="Maiandra GD" w:cs="Arial"/>
          <w:b/>
          <w:color w:val="634545" w:themeColor="accent6" w:themeShade="BF"/>
          <w:sz w:val="24"/>
          <w:szCs w:val="24"/>
        </w:rPr>
        <w:t xml:space="preserve">Grafica 2. </w:t>
      </w:r>
      <w:r w:rsidRPr="00681A35">
        <w:rPr>
          <w:rFonts w:ascii="Maiandra GD" w:hAnsi="Maiandra GD" w:cs="Arial"/>
          <w:color w:val="000000" w:themeColor="text1"/>
          <w:sz w:val="24"/>
          <w:szCs w:val="24"/>
        </w:rPr>
        <w:t>Distribución de personas, según conocimiento de Enfermedad Laboral.</w:t>
      </w:r>
    </w:p>
    <w:p w:rsidR="00374FB1" w:rsidRDefault="00374FB1" w:rsidP="00374FB1">
      <w:pPr>
        <w:spacing w:after="0" w:line="240" w:lineRule="auto"/>
        <w:ind w:firstLine="708"/>
        <w:rPr>
          <w:rFonts w:ascii="Maiandra GD" w:hAnsi="Maiandra GD" w:cs="Arial"/>
          <w:b/>
          <w:sz w:val="16"/>
          <w:szCs w:val="24"/>
        </w:rPr>
      </w:pPr>
    </w:p>
    <w:p w:rsidR="00374FB1" w:rsidRDefault="00374FB1" w:rsidP="00374FB1">
      <w:pPr>
        <w:spacing w:line="360" w:lineRule="auto"/>
        <w:jc w:val="both"/>
        <w:rPr>
          <w:rFonts w:ascii="Maiandra GD" w:hAnsi="Maiandra GD" w:cs="Arial"/>
          <w:sz w:val="24"/>
          <w:szCs w:val="24"/>
        </w:rPr>
      </w:pPr>
      <w:r>
        <w:rPr>
          <w:rFonts w:ascii="Maiandra GD" w:hAnsi="Maiandra GD" w:cs="Arial"/>
          <w:noProof/>
          <w:sz w:val="24"/>
          <w:szCs w:val="24"/>
          <w:lang w:val="es-MX" w:eastAsia="es-MX"/>
        </w:rPr>
        <w:drawing>
          <wp:inline distT="0" distB="0" distL="0" distR="0" wp14:anchorId="7C8FC8A5" wp14:editId="331153C2">
            <wp:extent cx="5391150" cy="2019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019300"/>
                    </a:xfrm>
                    <a:prstGeom prst="rect">
                      <a:avLst/>
                    </a:prstGeom>
                    <a:noFill/>
                    <a:ln>
                      <a:noFill/>
                    </a:ln>
                  </pic:spPr>
                </pic:pic>
              </a:graphicData>
            </a:graphic>
          </wp:inline>
        </w:drawing>
      </w:r>
    </w:p>
    <w:p w:rsidR="00374FB1" w:rsidRDefault="00374FB1" w:rsidP="00374FB1">
      <w:pPr>
        <w:spacing w:after="0" w:line="240" w:lineRule="auto"/>
        <w:ind w:firstLine="708"/>
        <w:rPr>
          <w:rFonts w:ascii="Maiandra GD" w:hAnsi="Maiandra GD" w:cs="Arial"/>
          <w:sz w:val="16"/>
          <w:szCs w:val="24"/>
        </w:rPr>
      </w:pPr>
      <w:r w:rsidRPr="00326633">
        <w:rPr>
          <w:rFonts w:ascii="Maiandra GD" w:hAnsi="Maiandra GD" w:cs="Arial"/>
          <w:b/>
          <w:sz w:val="16"/>
          <w:szCs w:val="24"/>
        </w:rPr>
        <w:t>Fuente.</w:t>
      </w:r>
      <w:r w:rsidRPr="00C92A08">
        <w:rPr>
          <w:rFonts w:ascii="Maiandra GD" w:hAnsi="Maiandra GD" w:cs="Arial"/>
          <w:sz w:val="16"/>
          <w:szCs w:val="24"/>
        </w:rPr>
        <w:t xml:space="preserve"> Respuestas Cuestionario Taller SIVISTRA – SISVESO COVE localidad </w:t>
      </w:r>
      <w:r>
        <w:rPr>
          <w:rFonts w:ascii="Maiandra GD" w:hAnsi="Maiandra GD" w:cs="Arial"/>
          <w:sz w:val="16"/>
          <w:szCs w:val="24"/>
        </w:rPr>
        <w:t>Suba</w:t>
      </w:r>
      <w:r w:rsidRPr="00C92A08">
        <w:rPr>
          <w:rFonts w:ascii="Maiandra GD" w:hAnsi="Maiandra GD" w:cs="Arial"/>
          <w:sz w:val="16"/>
          <w:szCs w:val="24"/>
        </w:rPr>
        <w:t>.</w:t>
      </w: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r>
        <w:rPr>
          <w:rFonts w:ascii="Maiandra GD" w:hAnsi="Maiandra GD" w:cs="Arial"/>
          <w:sz w:val="24"/>
          <w:szCs w:val="24"/>
        </w:rPr>
        <w:t>Se evidencia la claridad por parte del 97,6% de los participantes respecto  a la definición de enfermedad laboral, caso contrario, con el 2,4%, los cuales no identifican la respuesta correcta.</w:t>
      </w:r>
    </w:p>
    <w:p w:rsidR="00374FB1" w:rsidRDefault="00374FB1" w:rsidP="00374FB1">
      <w:pPr>
        <w:spacing w:line="240" w:lineRule="auto"/>
        <w:rPr>
          <w:rFonts w:ascii="Maiandra GD" w:hAnsi="Maiandra GD" w:cs="Arial"/>
          <w:b/>
          <w:color w:val="634545" w:themeColor="accent6" w:themeShade="BF"/>
          <w:sz w:val="24"/>
          <w:szCs w:val="24"/>
        </w:rPr>
      </w:pPr>
    </w:p>
    <w:p w:rsidR="00374FB1" w:rsidRPr="001C37CD" w:rsidRDefault="00374FB1" w:rsidP="00374FB1">
      <w:pPr>
        <w:spacing w:after="200" w:line="360" w:lineRule="auto"/>
        <w:jc w:val="both"/>
        <w:rPr>
          <w:rFonts w:ascii="Maiandra GD" w:hAnsi="Maiandra GD" w:cs="Arial"/>
          <w:sz w:val="24"/>
          <w:szCs w:val="24"/>
        </w:rPr>
      </w:pPr>
      <w:r w:rsidRPr="001C37CD">
        <w:rPr>
          <w:rFonts w:ascii="Maiandra GD" w:hAnsi="Maiandra GD" w:cs="Arial"/>
          <w:sz w:val="24"/>
          <w:szCs w:val="24"/>
        </w:rPr>
        <w:t xml:space="preserve">A la pregunta número </w:t>
      </w:r>
      <w:r>
        <w:rPr>
          <w:rFonts w:ascii="Maiandra GD" w:hAnsi="Maiandra GD" w:cs="Arial"/>
          <w:sz w:val="24"/>
          <w:szCs w:val="24"/>
        </w:rPr>
        <w:t>3 relacionada</w:t>
      </w:r>
      <w:r w:rsidRPr="001C37CD">
        <w:rPr>
          <w:rFonts w:ascii="Maiandra GD" w:hAnsi="Maiandra GD" w:cs="Arial"/>
          <w:sz w:val="24"/>
          <w:szCs w:val="24"/>
        </w:rPr>
        <w:t xml:space="preserve"> con los riesgos asociados a las enfermedades laborales, el resultado del cuestionario arrojó que el 100% de los asistentes respondieron correctamente, </w:t>
      </w:r>
      <w:r>
        <w:rPr>
          <w:rFonts w:ascii="Maiandra GD" w:hAnsi="Maiandra GD" w:cs="Arial"/>
          <w:sz w:val="24"/>
          <w:szCs w:val="24"/>
        </w:rPr>
        <w:t>identificando los riesgos q</w:t>
      </w:r>
      <w:r w:rsidRPr="001C37CD">
        <w:rPr>
          <w:rFonts w:ascii="Maiandra GD" w:hAnsi="Maiandra GD" w:cs="Arial"/>
          <w:sz w:val="24"/>
          <w:szCs w:val="24"/>
        </w:rPr>
        <w:t>uímico, ruido, temperaturas extremas, vibraciones, radi</w:t>
      </w:r>
      <w:r>
        <w:rPr>
          <w:rFonts w:ascii="Maiandra GD" w:hAnsi="Maiandra GD" w:cs="Arial"/>
          <w:sz w:val="24"/>
          <w:szCs w:val="24"/>
        </w:rPr>
        <w:t>aciones, biológico, psicosocial y</w:t>
      </w:r>
      <w:r w:rsidRPr="001C37CD">
        <w:rPr>
          <w:rFonts w:ascii="Maiandra GD" w:hAnsi="Maiandra GD" w:cs="Arial"/>
          <w:sz w:val="24"/>
          <w:szCs w:val="24"/>
        </w:rPr>
        <w:t xml:space="preserve"> biomecánico</w:t>
      </w:r>
      <w:r>
        <w:rPr>
          <w:rFonts w:ascii="Maiandra GD" w:hAnsi="Maiandra GD" w:cs="Arial"/>
          <w:sz w:val="24"/>
          <w:szCs w:val="24"/>
        </w:rPr>
        <w:t xml:space="preserve"> lo que genera afecciones a la salud según su grado de exposición</w:t>
      </w:r>
      <w:r w:rsidRPr="001C37CD">
        <w:rPr>
          <w:rFonts w:ascii="Maiandra GD" w:hAnsi="Maiandra GD" w:cs="Arial"/>
          <w:sz w:val="24"/>
          <w:szCs w:val="24"/>
        </w:rPr>
        <w:t xml:space="preserve">. </w:t>
      </w: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Default="00374FB1" w:rsidP="00374FB1">
      <w:pPr>
        <w:spacing w:line="360" w:lineRule="auto"/>
        <w:jc w:val="both"/>
        <w:rPr>
          <w:rFonts w:ascii="Maiandra GD" w:hAnsi="Maiandra GD" w:cs="Arial"/>
          <w:sz w:val="24"/>
          <w:szCs w:val="24"/>
        </w:rPr>
      </w:pPr>
    </w:p>
    <w:p w:rsidR="00374FB1" w:rsidRPr="00934E6D" w:rsidRDefault="00374FB1" w:rsidP="00374FB1">
      <w:pPr>
        <w:spacing w:after="0" w:line="240" w:lineRule="auto"/>
        <w:jc w:val="both"/>
      </w:pPr>
      <w:r>
        <w:rPr>
          <w:rFonts w:ascii="Maiandra GD" w:hAnsi="Maiandra GD" w:cs="Arial"/>
          <w:b/>
          <w:color w:val="634545" w:themeColor="accent6" w:themeShade="BF"/>
          <w:sz w:val="24"/>
          <w:szCs w:val="24"/>
        </w:rPr>
        <w:t>Grafica 4.</w:t>
      </w:r>
      <w:r w:rsidRPr="009573B9">
        <w:rPr>
          <w:rFonts w:ascii="Maiandra GD" w:hAnsi="Maiandra GD" w:cs="Arial"/>
          <w:color w:val="000000" w:themeColor="text1"/>
          <w:sz w:val="24"/>
          <w:szCs w:val="24"/>
        </w:rPr>
        <w:t xml:space="preserve"> </w:t>
      </w:r>
      <w:r w:rsidRPr="00681A35">
        <w:rPr>
          <w:rFonts w:ascii="Maiandra GD" w:hAnsi="Maiandra GD" w:cs="Arial"/>
          <w:color w:val="000000" w:themeColor="text1"/>
          <w:sz w:val="24"/>
          <w:szCs w:val="24"/>
        </w:rPr>
        <w:t xml:space="preserve">Distribución de personas, según conocimiento de los </w:t>
      </w:r>
      <w:r>
        <w:rPr>
          <w:rFonts w:ascii="Maiandra GD" w:hAnsi="Maiandra GD" w:cs="Arial"/>
          <w:color w:val="000000" w:themeColor="text1"/>
          <w:sz w:val="24"/>
          <w:szCs w:val="24"/>
        </w:rPr>
        <w:t>criterios de inclusión a tener en cuenta para la notificación inmediata al subsistema SISVESO</w:t>
      </w:r>
      <w:r w:rsidRPr="00681A35">
        <w:rPr>
          <w:rFonts w:ascii="Maiandra GD" w:hAnsi="Maiandra GD" w:cs="Arial"/>
          <w:color w:val="000000" w:themeColor="text1"/>
          <w:sz w:val="24"/>
          <w:szCs w:val="24"/>
        </w:rPr>
        <w:t>.</w:t>
      </w:r>
    </w:p>
    <w:p w:rsidR="00374FB1" w:rsidRDefault="00374FB1" w:rsidP="00374FB1">
      <w:pPr>
        <w:spacing w:after="0" w:line="360" w:lineRule="auto"/>
        <w:jc w:val="center"/>
        <w:rPr>
          <w:rFonts w:ascii="Maiandra GD" w:hAnsi="Maiandra GD" w:cs="Arial"/>
          <w:sz w:val="24"/>
          <w:szCs w:val="24"/>
        </w:rPr>
      </w:pPr>
      <w:r>
        <w:rPr>
          <w:rFonts w:ascii="Maiandra GD" w:hAnsi="Maiandra GD" w:cs="Arial"/>
          <w:noProof/>
          <w:sz w:val="24"/>
          <w:szCs w:val="24"/>
          <w:lang w:val="es-MX" w:eastAsia="es-MX"/>
        </w:rPr>
        <w:drawing>
          <wp:inline distT="0" distB="0" distL="0" distR="0" wp14:anchorId="3AC71005" wp14:editId="01BE61CB">
            <wp:extent cx="5391150" cy="1990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1990725"/>
                    </a:xfrm>
                    <a:prstGeom prst="rect">
                      <a:avLst/>
                    </a:prstGeom>
                    <a:noFill/>
                    <a:ln>
                      <a:noFill/>
                    </a:ln>
                  </pic:spPr>
                </pic:pic>
              </a:graphicData>
            </a:graphic>
          </wp:inline>
        </w:drawing>
      </w:r>
    </w:p>
    <w:p w:rsidR="00374FB1" w:rsidRDefault="00374FB1" w:rsidP="00374FB1">
      <w:pPr>
        <w:spacing w:after="0" w:line="240" w:lineRule="auto"/>
        <w:ind w:firstLine="708"/>
        <w:rPr>
          <w:rFonts w:ascii="Maiandra GD" w:hAnsi="Maiandra GD" w:cs="Arial"/>
          <w:sz w:val="16"/>
          <w:szCs w:val="24"/>
        </w:rPr>
      </w:pPr>
      <w:r w:rsidRPr="00326633">
        <w:rPr>
          <w:rFonts w:ascii="Maiandra GD" w:hAnsi="Maiandra GD" w:cs="Arial"/>
          <w:b/>
          <w:sz w:val="16"/>
          <w:szCs w:val="24"/>
        </w:rPr>
        <w:t>Fuente.</w:t>
      </w:r>
      <w:r w:rsidRPr="00C92A08">
        <w:rPr>
          <w:rFonts w:ascii="Maiandra GD" w:hAnsi="Maiandra GD" w:cs="Arial"/>
          <w:sz w:val="16"/>
          <w:szCs w:val="24"/>
        </w:rPr>
        <w:t xml:space="preserve"> Respuestas Cuestionario Taller SIVISTRA – SISVESO COVE localidad </w:t>
      </w:r>
      <w:r>
        <w:rPr>
          <w:rFonts w:ascii="Maiandra GD" w:hAnsi="Maiandra GD" w:cs="Arial"/>
          <w:sz w:val="16"/>
          <w:szCs w:val="24"/>
        </w:rPr>
        <w:t>Suba</w:t>
      </w:r>
      <w:r w:rsidRPr="00C92A08">
        <w:rPr>
          <w:rFonts w:ascii="Maiandra GD" w:hAnsi="Maiandra GD" w:cs="Arial"/>
          <w:sz w:val="16"/>
          <w:szCs w:val="24"/>
        </w:rPr>
        <w:t>.</w:t>
      </w:r>
    </w:p>
    <w:p w:rsidR="00374FB1" w:rsidRPr="008E6200" w:rsidRDefault="00374FB1" w:rsidP="00374FB1">
      <w:pPr>
        <w:spacing w:after="0" w:line="240" w:lineRule="auto"/>
        <w:ind w:firstLine="708"/>
        <w:rPr>
          <w:rFonts w:ascii="Maiandra GD" w:hAnsi="Maiandra GD" w:cs="Arial"/>
          <w:color w:val="FF0000"/>
          <w:sz w:val="16"/>
          <w:szCs w:val="24"/>
        </w:rPr>
      </w:pPr>
    </w:p>
    <w:p w:rsidR="00374FB1" w:rsidRPr="00D0581A" w:rsidRDefault="00374FB1" w:rsidP="00374FB1">
      <w:pPr>
        <w:spacing w:line="360" w:lineRule="auto"/>
        <w:jc w:val="both"/>
        <w:rPr>
          <w:rFonts w:ascii="Maiandra GD" w:hAnsi="Maiandra GD" w:cs="Arial"/>
          <w:color w:val="000000" w:themeColor="text1"/>
          <w:sz w:val="24"/>
          <w:szCs w:val="24"/>
        </w:rPr>
      </w:pPr>
      <w:r w:rsidRPr="00D0581A">
        <w:rPr>
          <w:rFonts w:ascii="Maiandra GD" w:hAnsi="Maiandra GD" w:cs="Arial"/>
          <w:color w:val="000000" w:themeColor="text1"/>
          <w:sz w:val="24"/>
          <w:szCs w:val="24"/>
        </w:rPr>
        <w:t>Se evidencia claridad por parte del 80% de los participantes respecto los criterios de inclusión a tener en cuenta en la notificación por presentar patologías de interés en salud oral,  sin e</w:t>
      </w:r>
      <w:r>
        <w:rPr>
          <w:rFonts w:ascii="Maiandra GD" w:hAnsi="Maiandra GD" w:cs="Arial"/>
          <w:color w:val="000000" w:themeColor="text1"/>
          <w:sz w:val="24"/>
          <w:szCs w:val="24"/>
        </w:rPr>
        <w:t>mbargo quedaron dudas en un 12,5</w:t>
      </w:r>
      <w:r w:rsidRPr="00D0581A">
        <w:rPr>
          <w:rFonts w:ascii="Maiandra GD" w:hAnsi="Maiandra GD" w:cs="Arial"/>
          <w:color w:val="000000" w:themeColor="text1"/>
          <w:sz w:val="24"/>
          <w:szCs w:val="24"/>
        </w:rPr>
        <w:t>% sobre la inclusión de mayores de 60 años o más con alertas en salud oral.</w:t>
      </w:r>
    </w:p>
    <w:p w:rsidR="00374FB1" w:rsidRDefault="00374FB1" w:rsidP="00374FB1">
      <w:pPr>
        <w:spacing w:line="240" w:lineRule="auto"/>
        <w:rPr>
          <w:rFonts w:ascii="Maiandra GD" w:hAnsi="Maiandra GD" w:cs="Arial"/>
          <w:b/>
          <w:color w:val="634545" w:themeColor="accent6" w:themeShade="BF"/>
          <w:sz w:val="24"/>
          <w:szCs w:val="24"/>
        </w:rPr>
      </w:pPr>
    </w:p>
    <w:p w:rsidR="00374FB1" w:rsidRDefault="00374FB1" w:rsidP="00374FB1">
      <w:pPr>
        <w:spacing w:line="240" w:lineRule="auto"/>
        <w:rPr>
          <w:rFonts w:ascii="Maiandra GD" w:hAnsi="Maiandra GD" w:cs="Arial"/>
          <w:b/>
          <w:color w:val="634545" w:themeColor="accent6" w:themeShade="BF"/>
          <w:sz w:val="24"/>
          <w:szCs w:val="24"/>
        </w:rPr>
      </w:pPr>
      <w:r>
        <w:rPr>
          <w:rFonts w:ascii="Maiandra GD" w:hAnsi="Maiandra GD" w:cs="Arial"/>
          <w:b/>
          <w:color w:val="634545" w:themeColor="accent6" w:themeShade="BF"/>
          <w:sz w:val="24"/>
          <w:szCs w:val="24"/>
        </w:rPr>
        <w:t xml:space="preserve">Grafica 5. </w:t>
      </w:r>
      <w:r w:rsidRPr="00681A35">
        <w:rPr>
          <w:rFonts w:ascii="Maiandra GD" w:hAnsi="Maiandra GD" w:cs="Arial"/>
          <w:color w:val="000000" w:themeColor="text1"/>
          <w:sz w:val="24"/>
          <w:szCs w:val="24"/>
        </w:rPr>
        <w:t xml:space="preserve">Distribución de </w:t>
      </w:r>
      <w:r>
        <w:rPr>
          <w:rFonts w:ascii="Maiandra GD" w:hAnsi="Maiandra GD" w:cs="Arial"/>
          <w:color w:val="000000" w:themeColor="text1"/>
          <w:sz w:val="24"/>
          <w:szCs w:val="24"/>
        </w:rPr>
        <w:t xml:space="preserve">personas, según conocimiento de las rutas activadas en el caso de población en alerta en salud oral.  </w:t>
      </w:r>
    </w:p>
    <w:p w:rsidR="00374FB1" w:rsidRDefault="00374FB1" w:rsidP="00374FB1">
      <w:pPr>
        <w:spacing w:after="0" w:line="360" w:lineRule="auto"/>
        <w:jc w:val="center"/>
        <w:rPr>
          <w:rFonts w:ascii="Maiandra GD" w:hAnsi="Maiandra GD" w:cs="Arial"/>
          <w:sz w:val="24"/>
          <w:szCs w:val="24"/>
        </w:rPr>
      </w:pPr>
      <w:r>
        <w:rPr>
          <w:rFonts w:ascii="Maiandra GD" w:hAnsi="Maiandra GD" w:cs="Arial"/>
          <w:noProof/>
          <w:sz w:val="24"/>
          <w:szCs w:val="24"/>
          <w:lang w:val="es-MX" w:eastAsia="es-MX"/>
        </w:rPr>
        <w:lastRenderedPageBreak/>
        <w:drawing>
          <wp:inline distT="0" distB="0" distL="0" distR="0" wp14:anchorId="7FBA5147" wp14:editId="29CD1B44">
            <wp:extent cx="4429125" cy="200502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6642" cy="2008424"/>
                    </a:xfrm>
                    <a:prstGeom prst="rect">
                      <a:avLst/>
                    </a:prstGeom>
                    <a:noFill/>
                    <a:ln>
                      <a:noFill/>
                    </a:ln>
                  </pic:spPr>
                </pic:pic>
              </a:graphicData>
            </a:graphic>
          </wp:inline>
        </w:drawing>
      </w:r>
    </w:p>
    <w:p w:rsidR="00374FB1" w:rsidRDefault="00374FB1" w:rsidP="00374FB1">
      <w:pPr>
        <w:spacing w:after="0" w:line="240" w:lineRule="auto"/>
        <w:ind w:firstLine="708"/>
        <w:rPr>
          <w:rFonts w:ascii="Maiandra GD" w:hAnsi="Maiandra GD" w:cs="Arial"/>
          <w:sz w:val="16"/>
          <w:szCs w:val="24"/>
        </w:rPr>
      </w:pPr>
      <w:r w:rsidRPr="00326633">
        <w:rPr>
          <w:rFonts w:ascii="Maiandra GD" w:hAnsi="Maiandra GD" w:cs="Arial"/>
          <w:b/>
          <w:sz w:val="16"/>
          <w:szCs w:val="24"/>
        </w:rPr>
        <w:t>Fuente.</w:t>
      </w:r>
      <w:r w:rsidRPr="00C92A08">
        <w:rPr>
          <w:rFonts w:ascii="Maiandra GD" w:hAnsi="Maiandra GD" w:cs="Arial"/>
          <w:sz w:val="16"/>
          <w:szCs w:val="24"/>
        </w:rPr>
        <w:t xml:space="preserve"> Respuestas Cuestionario Taller SIVISTRA – SI</w:t>
      </w:r>
      <w:r>
        <w:rPr>
          <w:rFonts w:ascii="Maiandra GD" w:hAnsi="Maiandra GD" w:cs="Arial"/>
          <w:sz w:val="16"/>
          <w:szCs w:val="24"/>
        </w:rPr>
        <w:t>SVESO COVE localidad Suba</w:t>
      </w:r>
      <w:r w:rsidRPr="00C92A08">
        <w:rPr>
          <w:rFonts w:ascii="Maiandra GD" w:hAnsi="Maiandra GD" w:cs="Arial"/>
          <w:sz w:val="16"/>
          <w:szCs w:val="24"/>
        </w:rPr>
        <w:t>.</w:t>
      </w:r>
    </w:p>
    <w:p w:rsidR="00374FB1" w:rsidRDefault="00374FB1" w:rsidP="00374FB1">
      <w:pPr>
        <w:spacing w:after="0" w:line="240" w:lineRule="auto"/>
        <w:ind w:firstLine="708"/>
        <w:rPr>
          <w:rFonts w:ascii="Maiandra GD" w:hAnsi="Maiandra GD" w:cs="Arial"/>
          <w:sz w:val="16"/>
          <w:szCs w:val="24"/>
        </w:rPr>
      </w:pPr>
    </w:p>
    <w:p w:rsidR="00374FB1" w:rsidRPr="00D0581A" w:rsidRDefault="00374FB1" w:rsidP="00374FB1">
      <w:pPr>
        <w:spacing w:line="360" w:lineRule="auto"/>
        <w:jc w:val="both"/>
        <w:rPr>
          <w:rFonts w:ascii="Maiandra GD" w:hAnsi="Maiandra GD" w:cs="Arial"/>
          <w:color w:val="000000" w:themeColor="text1"/>
          <w:sz w:val="24"/>
          <w:szCs w:val="24"/>
        </w:rPr>
      </w:pPr>
      <w:r w:rsidRPr="00D0581A">
        <w:rPr>
          <w:rFonts w:ascii="Maiandra GD" w:hAnsi="Maiandra GD" w:cs="Arial"/>
          <w:color w:val="000000" w:themeColor="text1"/>
          <w:sz w:val="24"/>
          <w:szCs w:val="24"/>
        </w:rPr>
        <w:t>Se evidencia claridad por parte del 97,5% de los participantes respecto  a la activación de rutas activadas en la unidad de análisis presentada,</w:t>
      </w:r>
    </w:p>
    <w:p w:rsidR="00374FB1" w:rsidRPr="008E6200" w:rsidRDefault="00374FB1" w:rsidP="00374FB1">
      <w:pPr>
        <w:spacing w:line="360" w:lineRule="auto"/>
        <w:jc w:val="both"/>
        <w:rPr>
          <w:rFonts w:ascii="Maiandra GD" w:hAnsi="Maiandra GD" w:cs="Arial"/>
          <w:color w:val="FF0000"/>
          <w:sz w:val="24"/>
          <w:szCs w:val="24"/>
        </w:rPr>
      </w:pPr>
      <w:r>
        <w:rPr>
          <w:rFonts w:ascii="Maiandra GD" w:hAnsi="Maiandra GD" w:cs="Arial"/>
          <w:b/>
          <w:color w:val="634545" w:themeColor="accent6" w:themeShade="BF"/>
          <w:sz w:val="24"/>
          <w:szCs w:val="24"/>
        </w:rPr>
        <w:t>Grafica 6.</w:t>
      </w:r>
      <w:r>
        <w:rPr>
          <w:rFonts w:ascii="Maiandra GD" w:hAnsi="Maiandra GD" w:cs="Arial"/>
          <w:color w:val="000000" w:themeColor="text1"/>
          <w:sz w:val="24"/>
          <w:szCs w:val="24"/>
        </w:rPr>
        <w:t xml:space="preserve"> Distribución de personas, según consideran la necesidad de fortalecer a los profesionales de la salud  en temas como protocolos de atención, rutas salud y eventos a vigilar.</w:t>
      </w:r>
    </w:p>
    <w:p w:rsidR="00374FB1" w:rsidRDefault="00374FB1" w:rsidP="00374FB1">
      <w:pPr>
        <w:spacing w:line="360" w:lineRule="auto"/>
        <w:jc w:val="both"/>
        <w:rPr>
          <w:rFonts w:ascii="Maiandra GD" w:hAnsi="Maiandra GD" w:cs="Arial"/>
          <w:sz w:val="24"/>
          <w:szCs w:val="24"/>
        </w:rPr>
      </w:pPr>
      <w:r>
        <w:rPr>
          <w:rFonts w:ascii="Maiandra GD" w:hAnsi="Maiandra GD" w:cs="Arial"/>
          <w:noProof/>
          <w:sz w:val="24"/>
          <w:szCs w:val="24"/>
          <w:lang w:val="es-MX" w:eastAsia="es-MX"/>
        </w:rPr>
        <w:drawing>
          <wp:inline distT="0" distB="0" distL="0" distR="0" wp14:anchorId="3C9BBD85" wp14:editId="3DC26B89">
            <wp:extent cx="5210175" cy="23431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175" cy="2343150"/>
                    </a:xfrm>
                    <a:prstGeom prst="rect">
                      <a:avLst/>
                    </a:prstGeom>
                    <a:noFill/>
                    <a:ln>
                      <a:noFill/>
                    </a:ln>
                  </pic:spPr>
                </pic:pic>
              </a:graphicData>
            </a:graphic>
          </wp:inline>
        </w:drawing>
      </w:r>
    </w:p>
    <w:p w:rsidR="00374FB1" w:rsidRDefault="00374FB1" w:rsidP="00374FB1">
      <w:pPr>
        <w:spacing w:after="0" w:line="240" w:lineRule="auto"/>
        <w:ind w:firstLine="708"/>
        <w:rPr>
          <w:rFonts w:ascii="Maiandra GD" w:hAnsi="Maiandra GD" w:cs="Arial"/>
          <w:sz w:val="16"/>
          <w:szCs w:val="24"/>
        </w:rPr>
      </w:pPr>
      <w:r w:rsidRPr="00326633">
        <w:rPr>
          <w:rFonts w:ascii="Maiandra GD" w:hAnsi="Maiandra GD" w:cs="Arial"/>
          <w:b/>
          <w:sz w:val="16"/>
          <w:szCs w:val="24"/>
        </w:rPr>
        <w:t>Fuente.</w:t>
      </w:r>
      <w:r w:rsidRPr="00C92A08">
        <w:rPr>
          <w:rFonts w:ascii="Maiandra GD" w:hAnsi="Maiandra GD" w:cs="Arial"/>
          <w:sz w:val="16"/>
          <w:szCs w:val="24"/>
        </w:rPr>
        <w:t xml:space="preserve"> Respuestas Cuestionario Taller SIVISTRA – SI</w:t>
      </w:r>
      <w:r>
        <w:rPr>
          <w:rFonts w:ascii="Maiandra GD" w:hAnsi="Maiandra GD" w:cs="Arial"/>
          <w:sz w:val="16"/>
          <w:szCs w:val="24"/>
        </w:rPr>
        <w:t>SVESO COVE localidad Suba</w:t>
      </w:r>
      <w:r w:rsidRPr="00C92A08">
        <w:rPr>
          <w:rFonts w:ascii="Maiandra GD" w:hAnsi="Maiandra GD" w:cs="Arial"/>
          <w:sz w:val="16"/>
          <w:szCs w:val="24"/>
        </w:rPr>
        <w:t>.</w:t>
      </w:r>
    </w:p>
    <w:p w:rsidR="00374FB1" w:rsidRDefault="00374FB1" w:rsidP="00374FB1">
      <w:pPr>
        <w:spacing w:line="360" w:lineRule="auto"/>
        <w:jc w:val="both"/>
        <w:rPr>
          <w:rFonts w:ascii="Maiandra GD" w:hAnsi="Maiandra GD" w:cs="Arial"/>
          <w:sz w:val="24"/>
          <w:szCs w:val="24"/>
        </w:rPr>
      </w:pPr>
    </w:p>
    <w:p w:rsidR="00374FB1" w:rsidRPr="00D0581A" w:rsidRDefault="00374FB1" w:rsidP="00374FB1">
      <w:pPr>
        <w:spacing w:line="360" w:lineRule="auto"/>
        <w:jc w:val="both"/>
        <w:rPr>
          <w:rFonts w:ascii="Maiandra GD" w:hAnsi="Maiandra GD" w:cs="Arial"/>
          <w:color w:val="000000" w:themeColor="text1"/>
          <w:sz w:val="24"/>
          <w:szCs w:val="24"/>
        </w:rPr>
      </w:pPr>
      <w:r w:rsidRPr="00D0581A">
        <w:rPr>
          <w:rFonts w:ascii="Maiandra GD" w:hAnsi="Maiandra GD" w:cs="Arial"/>
          <w:color w:val="000000" w:themeColor="text1"/>
          <w:sz w:val="24"/>
          <w:szCs w:val="24"/>
        </w:rPr>
        <w:t>La última pregunta relacionada cuestiona a los asistentes sobre la necesidad de fortalecer a los profesionales de la  salud en temas como protocolos de atención, rutas de salud y eventos a vigilar, en donde el 97,5% de los participantes estuvieron de acuerdo con la necesidad de capacitar para mejorar la atención en salud, ya que se observaron barreras institucionales y geográficas en el caso socializado de población en alerta en salud oral.</w:t>
      </w:r>
    </w:p>
    <w:p w:rsidR="00374FB1" w:rsidRDefault="00374FB1" w:rsidP="00374FB1">
      <w:pPr>
        <w:spacing w:after="0" w:line="240" w:lineRule="auto"/>
        <w:rPr>
          <w:rFonts w:ascii="Maiandra GD" w:hAnsi="Maiandra GD" w:cs="Arial"/>
          <w:sz w:val="16"/>
          <w:szCs w:val="24"/>
        </w:rPr>
      </w:pPr>
    </w:p>
    <w:p w:rsidR="00374FB1" w:rsidRDefault="00374FB1" w:rsidP="00374FB1">
      <w:pPr>
        <w:spacing w:after="0" w:line="240" w:lineRule="auto"/>
        <w:rPr>
          <w:rFonts w:ascii="Maiandra GD" w:hAnsi="Maiandra GD" w:cs="Arial"/>
          <w:sz w:val="16"/>
          <w:szCs w:val="24"/>
        </w:rPr>
      </w:pPr>
    </w:p>
    <w:p w:rsidR="00374FB1" w:rsidRDefault="00374FB1" w:rsidP="00374FB1">
      <w:pPr>
        <w:spacing w:line="360" w:lineRule="auto"/>
        <w:jc w:val="both"/>
        <w:rPr>
          <w:rFonts w:ascii="Maiandra GD" w:hAnsi="Maiandra GD" w:cs="Arial"/>
          <w:sz w:val="24"/>
          <w:szCs w:val="24"/>
        </w:rPr>
      </w:pPr>
      <w:r>
        <w:rPr>
          <w:rFonts w:ascii="Maiandra GD" w:hAnsi="Maiandra GD" w:cs="Arial"/>
          <w:sz w:val="24"/>
          <w:szCs w:val="24"/>
        </w:rPr>
        <w:t xml:space="preserve">Se le </w:t>
      </w:r>
      <w:r w:rsidRPr="00FD0AF8">
        <w:rPr>
          <w:rFonts w:ascii="Maiandra GD" w:hAnsi="Maiandra GD" w:cs="Arial"/>
          <w:sz w:val="24"/>
          <w:szCs w:val="24"/>
        </w:rPr>
        <w:t xml:space="preserve">recuerda a los participantes al COVE de la localidad de </w:t>
      </w:r>
      <w:r>
        <w:rPr>
          <w:rFonts w:ascii="Maiandra GD" w:hAnsi="Maiandra GD" w:cs="Arial"/>
          <w:sz w:val="24"/>
          <w:szCs w:val="24"/>
        </w:rPr>
        <w:t>SUBA</w:t>
      </w:r>
      <w:r w:rsidRPr="00FD0AF8">
        <w:rPr>
          <w:rFonts w:ascii="Maiandra GD" w:hAnsi="Maiandra GD" w:cs="Arial"/>
          <w:sz w:val="24"/>
          <w:szCs w:val="24"/>
        </w:rPr>
        <w:t>, la importancia de difundir la información a profesionales asistenciales</w:t>
      </w:r>
      <w:r>
        <w:rPr>
          <w:rFonts w:ascii="Maiandra GD" w:hAnsi="Maiandra GD" w:cs="Arial"/>
          <w:sz w:val="24"/>
          <w:szCs w:val="24"/>
        </w:rPr>
        <w:t xml:space="preserve"> de sus instituciones</w:t>
      </w:r>
      <w:r w:rsidRPr="00FD0AF8">
        <w:rPr>
          <w:rFonts w:ascii="Maiandra GD" w:hAnsi="Maiandra GD" w:cs="Arial"/>
          <w:sz w:val="24"/>
          <w:szCs w:val="24"/>
        </w:rPr>
        <w:t>, usuarios</w:t>
      </w:r>
      <w:r>
        <w:rPr>
          <w:rFonts w:ascii="Maiandra GD" w:hAnsi="Maiandra GD" w:cs="Arial"/>
          <w:sz w:val="24"/>
          <w:szCs w:val="24"/>
        </w:rPr>
        <w:t xml:space="preserve"> </w:t>
      </w:r>
      <w:r w:rsidRPr="00FD0AF8">
        <w:rPr>
          <w:rFonts w:ascii="Maiandra GD" w:hAnsi="Maiandra GD" w:cs="Arial"/>
          <w:sz w:val="24"/>
          <w:szCs w:val="24"/>
        </w:rPr>
        <w:t xml:space="preserve">y sus familias, las temáticas desarrolladas en el presente Comité, con el fin de  </w:t>
      </w:r>
      <w:r>
        <w:rPr>
          <w:rFonts w:ascii="Maiandra GD" w:hAnsi="Maiandra GD" w:cs="Arial"/>
          <w:sz w:val="24"/>
          <w:szCs w:val="24"/>
        </w:rPr>
        <w:t>promover la notificación a Vigilancia en Salud Pública – VSP según el caso que se presente y al subsistema pertinente (SIVISTRA – SISVESO)</w:t>
      </w:r>
      <w:r w:rsidRPr="00FD0AF8">
        <w:rPr>
          <w:rFonts w:ascii="Maiandra GD" w:hAnsi="Maiandra GD" w:cs="Arial"/>
          <w:sz w:val="24"/>
          <w:szCs w:val="24"/>
        </w:rPr>
        <w:t xml:space="preserve">. </w:t>
      </w:r>
    </w:p>
    <w:p w:rsidR="00211021" w:rsidRPr="0053454D" w:rsidRDefault="00211021" w:rsidP="009D090C">
      <w:pPr>
        <w:spacing w:line="360" w:lineRule="auto"/>
        <w:jc w:val="both"/>
        <w:rPr>
          <w:rFonts w:ascii="Arial" w:hAnsi="Arial" w:cs="Arial"/>
          <w:b/>
        </w:rPr>
      </w:pPr>
    </w:p>
    <w:p w:rsidR="00423252" w:rsidRPr="0053454D" w:rsidRDefault="00423252" w:rsidP="009D090C">
      <w:pPr>
        <w:pStyle w:val="Prrafodelista"/>
        <w:numPr>
          <w:ilvl w:val="0"/>
          <w:numId w:val="24"/>
        </w:numPr>
        <w:suppressAutoHyphens/>
        <w:spacing w:after="200" w:line="360" w:lineRule="auto"/>
        <w:jc w:val="both"/>
        <w:rPr>
          <w:rFonts w:ascii="Arial" w:hAnsi="Arial" w:cs="Arial"/>
          <w:b/>
          <w:lang w:val="es-CO"/>
        </w:rPr>
      </w:pPr>
      <w:r w:rsidRPr="0053454D">
        <w:rPr>
          <w:rFonts w:ascii="Arial" w:hAnsi="Arial" w:cs="Arial"/>
          <w:b/>
        </w:rPr>
        <w:t>Alerta de Sarampión y rubeola</w:t>
      </w:r>
      <w:r w:rsidRPr="0053454D">
        <w:rPr>
          <w:rFonts w:ascii="Arial" w:hAnsi="Arial" w:cs="Arial"/>
          <w:b/>
          <w:lang w:val="es-CO"/>
        </w:rPr>
        <w:t xml:space="preserve">  </w:t>
      </w:r>
    </w:p>
    <w:p w:rsidR="00641F4E" w:rsidRPr="0053454D" w:rsidRDefault="00641F4E" w:rsidP="009D090C">
      <w:pPr>
        <w:spacing w:line="360" w:lineRule="auto"/>
        <w:jc w:val="both"/>
        <w:rPr>
          <w:rFonts w:ascii="Arial" w:hAnsi="Arial" w:cs="Arial"/>
          <w:b/>
          <w:bCs/>
        </w:rPr>
      </w:pPr>
    </w:p>
    <w:p w:rsidR="00641F4E" w:rsidRPr="0053454D" w:rsidRDefault="00641F4E" w:rsidP="009D090C">
      <w:pPr>
        <w:spacing w:line="360" w:lineRule="auto"/>
        <w:jc w:val="both"/>
        <w:rPr>
          <w:rFonts w:ascii="Arial" w:hAnsi="Arial" w:cs="Arial"/>
          <w:bCs/>
        </w:rPr>
      </w:pPr>
      <w:r w:rsidRPr="0053454D">
        <w:rPr>
          <w:rFonts w:ascii="Arial" w:hAnsi="Arial" w:cs="Arial"/>
          <w:bCs/>
        </w:rPr>
        <w:t xml:space="preserve">Se realiza </w:t>
      </w:r>
      <w:r w:rsidR="00245589" w:rsidRPr="0053454D">
        <w:rPr>
          <w:rFonts w:ascii="Arial" w:hAnsi="Arial" w:cs="Arial"/>
          <w:bCs/>
        </w:rPr>
        <w:t xml:space="preserve">socialización </w:t>
      </w:r>
      <w:r w:rsidRPr="0053454D">
        <w:rPr>
          <w:rFonts w:ascii="Arial" w:hAnsi="Arial" w:cs="Arial"/>
          <w:bCs/>
        </w:rPr>
        <w:t>del Plan Distrital de Acción frente al riesgo de importación de casos de Sarampión según directriz de la Secretaria Distrital de Salud:</w:t>
      </w:r>
    </w:p>
    <w:p w:rsidR="00641F4E" w:rsidRPr="0053454D" w:rsidRDefault="00641F4E" w:rsidP="009D090C">
      <w:pPr>
        <w:spacing w:line="360" w:lineRule="auto"/>
        <w:jc w:val="both"/>
        <w:rPr>
          <w:rFonts w:ascii="Arial" w:hAnsi="Arial" w:cs="Arial"/>
          <w:lang w:val="es-CO"/>
        </w:rPr>
      </w:pPr>
      <w:r w:rsidRPr="0053454D">
        <w:rPr>
          <w:rFonts w:ascii="Arial" w:hAnsi="Arial" w:cs="Arial"/>
          <w:lang w:val="es-CO"/>
        </w:rPr>
        <w:t>En el período comprendido entre noviembre de 2016 y diciembre de 2017, los países de la Región Europea notificaron 17.584 casos de sarampión, la mayor incidencia acumulada se registró en Rumania, Italia y Tayikistán.</w:t>
      </w:r>
    </w:p>
    <w:p w:rsidR="00641F4E" w:rsidRPr="0053454D" w:rsidRDefault="00641F4E" w:rsidP="009D090C">
      <w:pPr>
        <w:spacing w:line="360" w:lineRule="auto"/>
        <w:jc w:val="both"/>
        <w:rPr>
          <w:rFonts w:ascii="Arial" w:hAnsi="Arial" w:cs="Arial"/>
        </w:rPr>
      </w:pPr>
      <w:r w:rsidRPr="0053454D">
        <w:rPr>
          <w:rFonts w:ascii="Arial" w:hAnsi="Arial" w:cs="Arial"/>
          <w:lang w:val="es-CO"/>
        </w:rPr>
        <w:t xml:space="preserve">La región de las Américas fue la primera en ser declarada por un Comité Internacional de Expertos (CIE) como libre de los virus de la rubéola en 2015 y sarampión en 2016. </w:t>
      </w:r>
      <w:r w:rsidRPr="0053454D">
        <w:rPr>
          <w:rFonts w:ascii="Arial" w:hAnsi="Arial" w:cs="Arial"/>
        </w:rPr>
        <w:t>Todos los casos confirmados en la Región de las Américas fueron importados de otros continentes.</w:t>
      </w:r>
    </w:p>
    <w:p w:rsidR="00641F4E" w:rsidRPr="0053454D" w:rsidRDefault="00641F4E" w:rsidP="009D090C">
      <w:pPr>
        <w:spacing w:line="360" w:lineRule="auto"/>
        <w:jc w:val="both"/>
        <w:rPr>
          <w:rFonts w:ascii="Arial" w:hAnsi="Arial" w:cs="Arial"/>
        </w:rPr>
      </w:pPr>
      <w:r w:rsidRPr="0053454D">
        <w:rPr>
          <w:rFonts w:ascii="Arial" w:hAnsi="Arial" w:cs="Arial"/>
          <w:lang w:val="es-CO"/>
        </w:rPr>
        <w:t xml:space="preserve">Desde enero de 2017 y hasta enero de 2018, seis países de la Región de las Américas notificaron casos confirmados de sarampión: </w:t>
      </w:r>
    </w:p>
    <w:p w:rsidR="00641F4E" w:rsidRPr="0053454D" w:rsidRDefault="00641F4E" w:rsidP="009D090C">
      <w:pPr>
        <w:spacing w:line="360" w:lineRule="auto"/>
        <w:jc w:val="both"/>
        <w:rPr>
          <w:rFonts w:ascii="Arial" w:hAnsi="Arial" w:cs="Arial"/>
        </w:rPr>
      </w:pPr>
      <w:r w:rsidRPr="0053454D">
        <w:rPr>
          <w:rFonts w:ascii="Arial" w:hAnsi="Arial" w:cs="Arial"/>
          <w:lang w:val="es-CO"/>
        </w:rPr>
        <w:t>Antigua y Barbuda: 1 caso</w:t>
      </w:r>
      <w:r w:rsidRPr="0053454D">
        <w:rPr>
          <w:rFonts w:ascii="Arial" w:hAnsi="Arial" w:cs="Arial"/>
        </w:rPr>
        <w:t xml:space="preserve">, </w:t>
      </w:r>
      <w:r w:rsidRPr="0053454D">
        <w:rPr>
          <w:rFonts w:ascii="Arial" w:hAnsi="Arial" w:cs="Arial"/>
          <w:lang w:val="es-CO"/>
        </w:rPr>
        <w:t>Argentina: 3 casos</w:t>
      </w:r>
      <w:r w:rsidRPr="0053454D">
        <w:rPr>
          <w:rFonts w:ascii="Arial" w:hAnsi="Arial" w:cs="Arial"/>
        </w:rPr>
        <w:t xml:space="preserve">, </w:t>
      </w:r>
      <w:r w:rsidRPr="0053454D">
        <w:rPr>
          <w:rFonts w:ascii="Arial" w:hAnsi="Arial" w:cs="Arial"/>
          <w:lang w:val="es-CO"/>
        </w:rPr>
        <w:t>Canadá: 45 casos</w:t>
      </w:r>
      <w:r w:rsidRPr="0053454D">
        <w:rPr>
          <w:rFonts w:ascii="Arial" w:hAnsi="Arial" w:cs="Arial"/>
        </w:rPr>
        <w:t xml:space="preserve">, </w:t>
      </w:r>
      <w:r w:rsidRPr="0053454D">
        <w:rPr>
          <w:rFonts w:ascii="Arial" w:hAnsi="Arial" w:cs="Arial"/>
          <w:lang w:val="es-CO"/>
        </w:rPr>
        <w:t>Guatemala: 1 caso</w:t>
      </w:r>
      <w:r w:rsidRPr="0053454D">
        <w:rPr>
          <w:rFonts w:ascii="Arial" w:hAnsi="Arial" w:cs="Arial"/>
        </w:rPr>
        <w:t xml:space="preserve">, </w:t>
      </w:r>
      <w:r w:rsidRPr="0053454D">
        <w:rPr>
          <w:rFonts w:ascii="Arial" w:hAnsi="Arial" w:cs="Arial"/>
          <w:lang w:val="es-CO"/>
        </w:rPr>
        <w:t>Estados Unidos: 120 casos,</w:t>
      </w:r>
      <w:r w:rsidRPr="0053454D">
        <w:rPr>
          <w:rFonts w:ascii="Arial" w:hAnsi="Arial" w:cs="Arial"/>
        </w:rPr>
        <w:t xml:space="preserve"> </w:t>
      </w:r>
      <w:r w:rsidRPr="0053454D">
        <w:rPr>
          <w:rFonts w:ascii="Arial" w:hAnsi="Arial" w:cs="Arial"/>
          <w:lang w:val="es-CO"/>
        </w:rPr>
        <w:t>Venezuela</w:t>
      </w:r>
      <w:r w:rsidRPr="0053454D">
        <w:rPr>
          <w:rFonts w:ascii="Arial" w:hAnsi="Arial" w:cs="Arial"/>
          <w:b/>
          <w:lang w:val="es-CO"/>
        </w:rPr>
        <w:t>: 952 casos</w:t>
      </w:r>
      <w:r w:rsidRPr="0053454D">
        <w:rPr>
          <w:rFonts w:ascii="Arial" w:hAnsi="Arial" w:cs="Arial"/>
          <w:lang w:val="es-CO"/>
        </w:rPr>
        <w:t xml:space="preserve"> </w:t>
      </w:r>
    </w:p>
    <w:p w:rsidR="00641F4E" w:rsidRPr="0053454D" w:rsidRDefault="00641F4E" w:rsidP="009D090C">
      <w:pPr>
        <w:spacing w:line="360" w:lineRule="auto"/>
        <w:jc w:val="both"/>
        <w:rPr>
          <w:rFonts w:ascii="Arial" w:hAnsi="Arial" w:cs="Arial"/>
          <w:lang w:val="es-CO"/>
        </w:rPr>
      </w:pPr>
      <w:r w:rsidRPr="0053454D">
        <w:rPr>
          <w:rFonts w:ascii="Arial" w:hAnsi="Arial" w:cs="Arial"/>
          <w:lang w:val="es-CO"/>
        </w:rPr>
        <w:t xml:space="preserve">En el año 2015 se reportó el último caso de sarampión importado en Colombia, se trató de una mujer procedente de Suiza la cual no estaba vacunada. </w:t>
      </w:r>
    </w:p>
    <w:p w:rsidR="00641F4E" w:rsidRPr="0053454D" w:rsidRDefault="00641F4E" w:rsidP="009D090C">
      <w:pPr>
        <w:spacing w:line="360" w:lineRule="auto"/>
        <w:jc w:val="both"/>
        <w:rPr>
          <w:rFonts w:ascii="Arial" w:hAnsi="Arial" w:cs="Arial"/>
          <w:b/>
        </w:rPr>
      </w:pPr>
      <w:r w:rsidRPr="0053454D">
        <w:rPr>
          <w:rFonts w:ascii="Arial" w:hAnsi="Arial" w:cs="Arial"/>
          <w:b/>
        </w:rPr>
        <w:t>AMENAZAS:</w:t>
      </w:r>
    </w:p>
    <w:p w:rsidR="00641F4E" w:rsidRPr="0053454D" w:rsidRDefault="00641F4E" w:rsidP="009D090C">
      <w:pPr>
        <w:numPr>
          <w:ilvl w:val="0"/>
          <w:numId w:val="18"/>
        </w:numPr>
        <w:spacing w:line="360" w:lineRule="auto"/>
        <w:jc w:val="both"/>
        <w:rPr>
          <w:rFonts w:ascii="Arial" w:hAnsi="Arial" w:cs="Arial"/>
        </w:rPr>
      </w:pPr>
      <w:r w:rsidRPr="0053454D">
        <w:rPr>
          <w:rFonts w:ascii="Arial" w:hAnsi="Arial" w:cs="Arial"/>
          <w:lang w:val="es-CO"/>
        </w:rPr>
        <w:t>Importación de virus de sarampión y rubéola desde otras regiones del mundo, especialmente desde Venezuela en donde hay un brote activo de sarampión desde junio de 2017.</w:t>
      </w:r>
    </w:p>
    <w:p w:rsidR="00641F4E" w:rsidRPr="0053454D" w:rsidRDefault="00641F4E" w:rsidP="009D090C">
      <w:pPr>
        <w:numPr>
          <w:ilvl w:val="0"/>
          <w:numId w:val="18"/>
        </w:numPr>
        <w:spacing w:line="360" w:lineRule="auto"/>
        <w:jc w:val="both"/>
        <w:rPr>
          <w:rFonts w:ascii="Arial" w:hAnsi="Arial" w:cs="Arial"/>
        </w:rPr>
      </w:pPr>
      <w:r w:rsidRPr="0053454D">
        <w:rPr>
          <w:rFonts w:ascii="Arial" w:hAnsi="Arial" w:cs="Arial"/>
          <w:lang w:val="es-CO"/>
        </w:rPr>
        <w:t>Coberturas de vacunación con triple viral por debajo del 95%.</w:t>
      </w:r>
    </w:p>
    <w:p w:rsidR="00641F4E" w:rsidRPr="0053454D" w:rsidRDefault="00641F4E" w:rsidP="009D090C">
      <w:pPr>
        <w:numPr>
          <w:ilvl w:val="0"/>
          <w:numId w:val="18"/>
        </w:numPr>
        <w:spacing w:line="360" w:lineRule="auto"/>
        <w:jc w:val="both"/>
        <w:rPr>
          <w:rFonts w:ascii="Arial" w:hAnsi="Arial" w:cs="Arial"/>
        </w:rPr>
      </w:pPr>
      <w:r w:rsidRPr="0053454D">
        <w:rPr>
          <w:rFonts w:ascii="Arial" w:hAnsi="Arial" w:cs="Arial"/>
          <w:lang w:val="es-CO"/>
        </w:rPr>
        <w:t xml:space="preserve">Disminución en la notificación de casos sospechosos de sarampión-rubéola. </w:t>
      </w:r>
    </w:p>
    <w:p w:rsidR="00641F4E" w:rsidRPr="0053454D" w:rsidRDefault="00641F4E" w:rsidP="009D090C">
      <w:pPr>
        <w:numPr>
          <w:ilvl w:val="0"/>
          <w:numId w:val="18"/>
        </w:numPr>
        <w:spacing w:line="360" w:lineRule="auto"/>
        <w:jc w:val="both"/>
        <w:rPr>
          <w:rFonts w:ascii="Arial" w:hAnsi="Arial" w:cs="Arial"/>
        </w:rPr>
      </w:pPr>
      <w:r w:rsidRPr="0053454D">
        <w:rPr>
          <w:rFonts w:ascii="Arial" w:hAnsi="Arial" w:cs="Arial"/>
          <w:lang w:val="es-CO"/>
        </w:rPr>
        <w:lastRenderedPageBreak/>
        <w:t>Disminución de la inmunidad en niños &lt; 1 año sin transferencia de anticuerpos maternos y niños &lt; 6 meses que no son elegibles para vacunación.</w:t>
      </w:r>
    </w:p>
    <w:p w:rsidR="00641F4E" w:rsidRPr="0053454D" w:rsidRDefault="00641F4E" w:rsidP="009D090C">
      <w:pPr>
        <w:numPr>
          <w:ilvl w:val="0"/>
          <w:numId w:val="18"/>
        </w:numPr>
        <w:spacing w:line="360" w:lineRule="auto"/>
        <w:jc w:val="both"/>
        <w:rPr>
          <w:rFonts w:ascii="Arial" w:hAnsi="Arial" w:cs="Arial"/>
        </w:rPr>
      </w:pPr>
      <w:r w:rsidRPr="0053454D">
        <w:rPr>
          <w:rFonts w:ascii="Arial" w:hAnsi="Arial" w:cs="Arial"/>
          <w:lang w:val="es-CO"/>
        </w:rPr>
        <w:t>Grupos anti-vacunas que crean desconfianza.</w:t>
      </w:r>
    </w:p>
    <w:p w:rsidR="006819DA" w:rsidRPr="0053454D" w:rsidRDefault="006819DA" w:rsidP="009D090C">
      <w:pPr>
        <w:spacing w:line="360" w:lineRule="auto"/>
        <w:ind w:left="720"/>
        <w:jc w:val="both"/>
        <w:rPr>
          <w:rFonts w:ascii="Arial" w:hAnsi="Arial" w:cs="Arial"/>
        </w:rPr>
      </w:pPr>
    </w:p>
    <w:p w:rsidR="00641F4E" w:rsidRPr="0053454D" w:rsidRDefault="00641F4E" w:rsidP="009D090C">
      <w:pPr>
        <w:spacing w:line="360" w:lineRule="auto"/>
        <w:jc w:val="both"/>
        <w:rPr>
          <w:rFonts w:ascii="Arial" w:hAnsi="Arial" w:cs="Arial"/>
        </w:rPr>
      </w:pPr>
      <w:r w:rsidRPr="0053454D">
        <w:rPr>
          <w:rFonts w:ascii="Arial" w:hAnsi="Arial" w:cs="Arial"/>
          <w:b/>
          <w:bCs/>
          <w:lang w:val="es-CO"/>
        </w:rPr>
        <w:t>VIGILANCIA DE SARAMPIÓN - RUBÉOLA</w:t>
      </w:r>
    </w:p>
    <w:p w:rsidR="00641F4E" w:rsidRPr="0053454D" w:rsidRDefault="00641F4E" w:rsidP="009D090C">
      <w:pPr>
        <w:spacing w:line="360" w:lineRule="auto"/>
        <w:jc w:val="both"/>
        <w:rPr>
          <w:rFonts w:ascii="Arial" w:hAnsi="Arial" w:cs="Arial"/>
        </w:rPr>
      </w:pPr>
      <w:r w:rsidRPr="0053454D">
        <w:rPr>
          <w:rFonts w:ascii="Arial" w:hAnsi="Arial" w:cs="Arial"/>
          <w:b/>
          <w:bCs/>
          <w:lang w:val="es-CO"/>
        </w:rPr>
        <w:t>PROPÓSITO:</w:t>
      </w:r>
    </w:p>
    <w:p w:rsidR="00641F4E" w:rsidRPr="0053454D" w:rsidRDefault="00641F4E" w:rsidP="009D090C">
      <w:pPr>
        <w:spacing w:line="360" w:lineRule="auto"/>
        <w:jc w:val="both"/>
        <w:rPr>
          <w:rFonts w:ascii="Arial" w:hAnsi="Arial" w:cs="Arial"/>
        </w:rPr>
      </w:pPr>
      <w:r w:rsidRPr="0053454D">
        <w:rPr>
          <w:rFonts w:ascii="Arial" w:hAnsi="Arial" w:cs="Arial"/>
        </w:rPr>
        <w:t>Realizar el seguimiento continuo y sistemático de la ocurrencia de casos de sarampión y rubéola y del cumplimiento de los indicadores requeridos para mantener la certificación de la eliminación con el fin de detectar y confirmar oportunamente la circulación del virus salvaje del sarampión y de la rubéola y orientar las acciones que se deben adelantar ante un caso sospechoso o confirmado.</w:t>
      </w:r>
    </w:p>
    <w:p w:rsidR="00D36C0D" w:rsidRPr="0053454D" w:rsidRDefault="00D36C0D" w:rsidP="009D090C">
      <w:pPr>
        <w:spacing w:line="360" w:lineRule="auto"/>
        <w:jc w:val="both"/>
        <w:rPr>
          <w:rFonts w:ascii="Arial" w:hAnsi="Arial" w:cs="Arial"/>
        </w:rPr>
      </w:pPr>
    </w:p>
    <w:p w:rsidR="00641F4E" w:rsidRPr="0053454D" w:rsidRDefault="00641F4E" w:rsidP="009D090C">
      <w:pPr>
        <w:spacing w:line="360" w:lineRule="auto"/>
        <w:jc w:val="both"/>
        <w:rPr>
          <w:rFonts w:ascii="Arial" w:hAnsi="Arial" w:cs="Arial"/>
          <w:b/>
        </w:rPr>
      </w:pPr>
      <w:r w:rsidRPr="0053454D">
        <w:rPr>
          <w:rFonts w:ascii="Arial" w:hAnsi="Arial" w:cs="Arial"/>
          <w:b/>
          <w:lang w:val="es-CO"/>
        </w:rPr>
        <w:t>SARAMPIÓN:</w:t>
      </w:r>
    </w:p>
    <w:p w:rsidR="00641F4E" w:rsidRPr="0053454D" w:rsidRDefault="00641F4E" w:rsidP="009D090C">
      <w:pPr>
        <w:spacing w:line="360" w:lineRule="auto"/>
        <w:jc w:val="both"/>
        <w:rPr>
          <w:rFonts w:ascii="Arial" w:hAnsi="Arial" w:cs="Arial"/>
        </w:rPr>
      </w:pPr>
      <w:r w:rsidRPr="0053454D">
        <w:rPr>
          <w:rFonts w:ascii="Arial" w:hAnsi="Arial" w:cs="Arial"/>
          <w:lang w:val="es-CO"/>
        </w:rPr>
        <w:t>Enfermedad eruptiva aguda, sumamente contagiosa  clínicamente se diferencian dos etapas:</w:t>
      </w:r>
    </w:p>
    <w:p w:rsidR="00641F4E" w:rsidRPr="0053454D" w:rsidRDefault="00641F4E" w:rsidP="009D090C">
      <w:pPr>
        <w:numPr>
          <w:ilvl w:val="0"/>
          <w:numId w:val="19"/>
        </w:numPr>
        <w:spacing w:line="360" w:lineRule="auto"/>
        <w:jc w:val="both"/>
        <w:rPr>
          <w:rFonts w:ascii="Arial" w:hAnsi="Arial" w:cs="Arial"/>
        </w:rPr>
      </w:pPr>
      <w:r w:rsidRPr="0053454D">
        <w:rPr>
          <w:rFonts w:ascii="Arial" w:hAnsi="Arial" w:cs="Arial"/>
          <w:lang w:val="es-CO"/>
        </w:rPr>
        <w:t>Fase prodrómica, pre-exantemática o catarral, se caracteriza por fiebre de 38,5º C a 40,5º C y síntomas de las vías aéreas superiores, tos y coriza (</w:t>
      </w:r>
      <w:proofErr w:type="spellStart"/>
      <w:r w:rsidRPr="0053454D">
        <w:rPr>
          <w:rFonts w:ascii="Arial" w:hAnsi="Arial" w:cs="Arial"/>
          <w:lang w:val="es-CO"/>
        </w:rPr>
        <w:t>rinorrea</w:t>
      </w:r>
      <w:proofErr w:type="spellEnd"/>
      <w:r w:rsidRPr="0053454D">
        <w:rPr>
          <w:rFonts w:ascii="Arial" w:hAnsi="Arial" w:cs="Arial"/>
          <w:lang w:val="es-CO"/>
        </w:rPr>
        <w:t xml:space="preserve">), además de una fuerte conjuntivitis; en algunas ocasiones, es posible detectar las llamadas manchas de </w:t>
      </w:r>
      <w:proofErr w:type="spellStart"/>
      <w:r w:rsidRPr="0053454D">
        <w:rPr>
          <w:rFonts w:ascii="Arial" w:hAnsi="Arial" w:cs="Arial"/>
          <w:lang w:val="es-CO"/>
        </w:rPr>
        <w:t>Koplik</w:t>
      </w:r>
      <w:proofErr w:type="spellEnd"/>
      <w:r w:rsidRPr="0053454D">
        <w:rPr>
          <w:rFonts w:ascii="Arial" w:hAnsi="Arial" w:cs="Arial"/>
          <w:lang w:val="es-CO"/>
        </w:rPr>
        <w:t>.</w:t>
      </w:r>
    </w:p>
    <w:p w:rsidR="00641F4E" w:rsidRPr="0053454D" w:rsidRDefault="00641F4E" w:rsidP="009D090C">
      <w:pPr>
        <w:numPr>
          <w:ilvl w:val="0"/>
          <w:numId w:val="19"/>
        </w:numPr>
        <w:spacing w:line="360" w:lineRule="auto"/>
        <w:jc w:val="both"/>
        <w:rPr>
          <w:rFonts w:ascii="Arial" w:hAnsi="Arial" w:cs="Arial"/>
        </w:rPr>
      </w:pPr>
      <w:r w:rsidRPr="0053454D">
        <w:rPr>
          <w:rFonts w:ascii="Arial" w:hAnsi="Arial" w:cs="Arial"/>
          <w:lang w:val="es-CO"/>
        </w:rPr>
        <w:t xml:space="preserve">Fase exantemática o eruptiva, se presenta al tercer o cuarto día después del inicio de la enfermedad y se refiere a una erupción característica con manchas rojas parduscas, que comienzan en la cara y después se generalizan; dura de cuatro a siete días y a veces termina con una descamación fina </w:t>
      </w:r>
    </w:p>
    <w:p w:rsidR="00641F4E" w:rsidRPr="0053454D" w:rsidRDefault="00641F4E" w:rsidP="009D090C">
      <w:pPr>
        <w:spacing w:line="360" w:lineRule="auto"/>
        <w:jc w:val="both"/>
        <w:rPr>
          <w:rFonts w:ascii="Arial" w:hAnsi="Arial" w:cs="Arial"/>
        </w:rPr>
      </w:pPr>
      <w:r w:rsidRPr="0053454D">
        <w:rPr>
          <w:rFonts w:ascii="Arial" w:hAnsi="Arial" w:cs="Arial"/>
          <w:lang w:val="es-CO"/>
        </w:rPr>
        <w:t xml:space="preserve">Agente etiológico: El virus  de sarampión pertenece al género </w:t>
      </w:r>
      <w:proofErr w:type="spellStart"/>
      <w:r w:rsidRPr="0053454D">
        <w:rPr>
          <w:rFonts w:ascii="Arial" w:hAnsi="Arial" w:cs="Arial"/>
          <w:lang w:val="es-CO"/>
        </w:rPr>
        <w:t>Morbillivirus</w:t>
      </w:r>
      <w:proofErr w:type="spellEnd"/>
      <w:r w:rsidRPr="0053454D">
        <w:rPr>
          <w:rFonts w:ascii="Arial" w:hAnsi="Arial" w:cs="Arial"/>
          <w:lang w:val="es-CO"/>
        </w:rPr>
        <w:t xml:space="preserve"> de la familia </w:t>
      </w:r>
      <w:proofErr w:type="spellStart"/>
      <w:r w:rsidRPr="0053454D">
        <w:rPr>
          <w:rFonts w:ascii="Arial" w:hAnsi="Arial" w:cs="Arial"/>
          <w:lang w:val="es-CO"/>
        </w:rPr>
        <w:t>Paramyxoviridae</w:t>
      </w:r>
      <w:proofErr w:type="spellEnd"/>
      <w:r w:rsidRPr="0053454D">
        <w:rPr>
          <w:rFonts w:ascii="Arial" w:hAnsi="Arial" w:cs="Arial"/>
          <w:lang w:val="es-CO"/>
        </w:rPr>
        <w:t>.</w:t>
      </w:r>
    </w:p>
    <w:p w:rsidR="00641F4E" w:rsidRPr="0053454D" w:rsidRDefault="00641F4E" w:rsidP="009D090C">
      <w:pPr>
        <w:spacing w:line="360" w:lineRule="auto"/>
        <w:jc w:val="both"/>
        <w:rPr>
          <w:rFonts w:ascii="Arial" w:hAnsi="Arial" w:cs="Arial"/>
        </w:rPr>
      </w:pPr>
      <w:r w:rsidRPr="0053454D">
        <w:rPr>
          <w:rFonts w:ascii="Arial" w:hAnsi="Arial" w:cs="Arial"/>
          <w:lang w:val="es-CO"/>
        </w:rPr>
        <w:t>Modo de transmisión: Se transmite principalmente por medio de gotitas expulsadas del aparato respiratorio al toser o estornudar, o suspendidas en el aire, las cuales entran en contacto con las vías respiratorias superiores o la conjuntiva de una persona susceptible.</w:t>
      </w:r>
    </w:p>
    <w:p w:rsidR="00641F4E" w:rsidRPr="0053454D" w:rsidRDefault="00641F4E" w:rsidP="009D090C">
      <w:pPr>
        <w:spacing w:line="360" w:lineRule="auto"/>
        <w:jc w:val="both"/>
        <w:rPr>
          <w:rFonts w:ascii="Arial" w:hAnsi="Arial" w:cs="Arial"/>
        </w:rPr>
      </w:pPr>
      <w:r w:rsidRPr="0053454D">
        <w:rPr>
          <w:rFonts w:ascii="Arial" w:hAnsi="Arial" w:cs="Arial"/>
          <w:lang w:val="es-CO"/>
        </w:rPr>
        <w:t xml:space="preserve">Período de incubación: Es de 7 a 18 días, con un promedio de 14 días desde la exposición hasta la aparición del exantema.  </w:t>
      </w:r>
    </w:p>
    <w:p w:rsidR="00641F4E" w:rsidRPr="0053454D" w:rsidRDefault="00641F4E" w:rsidP="009D090C">
      <w:pPr>
        <w:spacing w:line="360" w:lineRule="auto"/>
        <w:jc w:val="both"/>
        <w:rPr>
          <w:rFonts w:ascii="Arial" w:hAnsi="Arial" w:cs="Arial"/>
          <w:lang w:val="es-CO"/>
        </w:rPr>
      </w:pPr>
      <w:r w:rsidRPr="0053454D">
        <w:rPr>
          <w:rFonts w:ascii="Arial" w:hAnsi="Arial" w:cs="Arial"/>
          <w:lang w:val="es-CO"/>
        </w:rPr>
        <w:lastRenderedPageBreak/>
        <w:t>Período de transmisibilidad: El riesgo de contagio es mayor entre uno y tres días antes del inicio de la fiebre y la tos, o cuatro días antes del comienzo del exantema. La transmisibilidad disminuye rápidamente luego del inicio del exantema hasta los cuatro a cinco días siguientes</w:t>
      </w:r>
    </w:p>
    <w:p w:rsidR="00641F4E" w:rsidRPr="0053454D" w:rsidRDefault="00641F4E" w:rsidP="009D090C">
      <w:pPr>
        <w:spacing w:line="360" w:lineRule="auto"/>
        <w:jc w:val="both"/>
        <w:rPr>
          <w:rFonts w:ascii="Arial" w:hAnsi="Arial" w:cs="Arial"/>
          <w:b/>
          <w:lang w:val="es-CO"/>
        </w:rPr>
      </w:pPr>
      <w:r w:rsidRPr="0053454D">
        <w:rPr>
          <w:rFonts w:ascii="Arial" w:hAnsi="Arial" w:cs="Arial"/>
          <w:b/>
          <w:lang w:val="es-CO"/>
        </w:rPr>
        <w:t>DEFINICIONES DE CASO:</w:t>
      </w:r>
    </w:p>
    <w:p w:rsidR="00641F4E" w:rsidRPr="0053454D" w:rsidRDefault="00641F4E" w:rsidP="009D090C">
      <w:pPr>
        <w:spacing w:line="360" w:lineRule="auto"/>
        <w:jc w:val="both"/>
        <w:rPr>
          <w:rFonts w:ascii="Arial" w:hAnsi="Arial" w:cs="Arial"/>
        </w:rPr>
      </w:pPr>
      <w:r w:rsidRPr="0053454D">
        <w:rPr>
          <w:rFonts w:ascii="Arial" w:hAnsi="Arial" w:cs="Arial"/>
          <w:i/>
          <w:lang w:val="es-CO"/>
        </w:rPr>
        <w:t>Caso sospechoso</w:t>
      </w:r>
      <w:r w:rsidRPr="0053454D">
        <w:rPr>
          <w:rFonts w:ascii="Arial" w:hAnsi="Arial" w:cs="Arial"/>
          <w:lang w:val="es-CO"/>
        </w:rPr>
        <w:t>: Todo caso con enfermedad febril eruptiva con uno o más de los siguientes síntomas o signos:</w:t>
      </w:r>
    </w:p>
    <w:p w:rsidR="00641F4E" w:rsidRPr="0053454D" w:rsidRDefault="00245589" w:rsidP="009D090C">
      <w:pPr>
        <w:numPr>
          <w:ilvl w:val="0"/>
          <w:numId w:val="20"/>
        </w:numPr>
        <w:spacing w:line="360" w:lineRule="auto"/>
        <w:jc w:val="both"/>
        <w:rPr>
          <w:rFonts w:ascii="Arial" w:hAnsi="Arial" w:cs="Arial"/>
        </w:rPr>
      </w:pPr>
      <w:r w:rsidRPr="0053454D">
        <w:rPr>
          <w:rFonts w:ascii="Arial" w:hAnsi="Arial" w:cs="Arial"/>
          <w:lang w:val="es-CO"/>
        </w:rPr>
        <w:t xml:space="preserve">Tos, </w:t>
      </w:r>
    </w:p>
    <w:p w:rsidR="00641F4E" w:rsidRPr="0053454D" w:rsidRDefault="00245589" w:rsidP="009D090C">
      <w:pPr>
        <w:numPr>
          <w:ilvl w:val="0"/>
          <w:numId w:val="20"/>
        </w:numPr>
        <w:spacing w:line="360" w:lineRule="auto"/>
        <w:jc w:val="both"/>
        <w:rPr>
          <w:rFonts w:ascii="Arial" w:hAnsi="Arial" w:cs="Arial"/>
        </w:rPr>
      </w:pPr>
      <w:r w:rsidRPr="0053454D">
        <w:rPr>
          <w:rFonts w:ascii="Arial" w:hAnsi="Arial" w:cs="Arial"/>
          <w:lang w:val="es-CO"/>
        </w:rPr>
        <w:t xml:space="preserve">Coriza, </w:t>
      </w:r>
    </w:p>
    <w:p w:rsidR="00641F4E" w:rsidRPr="0053454D" w:rsidRDefault="00245589" w:rsidP="009D090C">
      <w:pPr>
        <w:numPr>
          <w:ilvl w:val="0"/>
          <w:numId w:val="20"/>
        </w:numPr>
        <w:spacing w:line="360" w:lineRule="auto"/>
        <w:jc w:val="both"/>
        <w:rPr>
          <w:rFonts w:ascii="Arial" w:hAnsi="Arial" w:cs="Arial"/>
        </w:rPr>
      </w:pPr>
      <w:r w:rsidRPr="0053454D">
        <w:rPr>
          <w:rFonts w:ascii="Arial" w:hAnsi="Arial" w:cs="Arial"/>
          <w:lang w:val="es-CO"/>
        </w:rPr>
        <w:t xml:space="preserve">Conjuntivitis, </w:t>
      </w:r>
    </w:p>
    <w:p w:rsidR="00641F4E" w:rsidRPr="0053454D" w:rsidRDefault="00641F4E" w:rsidP="009D090C">
      <w:pPr>
        <w:numPr>
          <w:ilvl w:val="0"/>
          <w:numId w:val="20"/>
        </w:numPr>
        <w:spacing w:line="360" w:lineRule="auto"/>
        <w:jc w:val="both"/>
        <w:rPr>
          <w:rFonts w:ascii="Arial" w:hAnsi="Arial" w:cs="Arial"/>
        </w:rPr>
      </w:pPr>
      <w:r w:rsidRPr="0053454D">
        <w:rPr>
          <w:rFonts w:ascii="Arial" w:hAnsi="Arial" w:cs="Arial"/>
          <w:lang w:val="es-CO"/>
        </w:rPr>
        <w:t xml:space="preserve">Inflamación de ganglios linfáticos </w:t>
      </w:r>
      <w:proofErr w:type="spellStart"/>
      <w:r w:rsidRPr="0053454D">
        <w:rPr>
          <w:rFonts w:ascii="Arial" w:hAnsi="Arial" w:cs="Arial"/>
          <w:lang w:val="es-CO"/>
        </w:rPr>
        <w:t>retroauriculares</w:t>
      </w:r>
      <w:proofErr w:type="spellEnd"/>
      <w:r w:rsidRPr="0053454D">
        <w:rPr>
          <w:rFonts w:ascii="Arial" w:hAnsi="Arial" w:cs="Arial"/>
          <w:lang w:val="es-CO"/>
        </w:rPr>
        <w:t>, cervicales u occipitales y artralgias.</w:t>
      </w:r>
    </w:p>
    <w:p w:rsidR="00641F4E" w:rsidRPr="0053454D" w:rsidRDefault="00641F4E" w:rsidP="009D090C">
      <w:pPr>
        <w:spacing w:line="360" w:lineRule="auto"/>
        <w:jc w:val="both"/>
        <w:rPr>
          <w:rFonts w:ascii="Arial" w:hAnsi="Arial" w:cs="Arial"/>
        </w:rPr>
      </w:pPr>
      <w:r w:rsidRPr="0053454D">
        <w:rPr>
          <w:rFonts w:ascii="Arial" w:hAnsi="Arial" w:cs="Arial"/>
          <w:i/>
          <w:lang w:val="es-CO"/>
        </w:rPr>
        <w:t>Caso confirmado por laboratorio</w:t>
      </w:r>
      <w:r w:rsidRPr="0053454D">
        <w:rPr>
          <w:rFonts w:ascii="Arial" w:hAnsi="Arial" w:cs="Arial"/>
          <w:lang w:val="es-CO"/>
        </w:rPr>
        <w:t xml:space="preserve">: </w:t>
      </w:r>
      <w:r w:rsidRPr="0053454D">
        <w:rPr>
          <w:rFonts w:ascii="Arial" w:hAnsi="Arial" w:cs="Arial"/>
          <w:lang w:val="es-MX"/>
        </w:rPr>
        <w:t xml:space="preserve">Resultado positivo por prueba de IgM indirecta, PCR o aislamiento viral positivo. </w:t>
      </w:r>
    </w:p>
    <w:p w:rsidR="00641F4E" w:rsidRPr="0053454D" w:rsidRDefault="00641F4E" w:rsidP="009D090C">
      <w:pPr>
        <w:spacing w:line="360" w:lineRule="auto"/>
        <w:jc w:val="both"/>
        <w:rPr>
          <w:rFonts w:ascii="Arial" w:hAnsi="Arial" w:cs="Arial"/>
          <w:lang w:val="es-MX"/>
        </w:rPr>
      </w:pPr>
      <w:r w:rsidRPr="0053454D">
        <w:rPr>
          <w:rFonts w:ascii="Arial" w:hAnsi="Arial" w:cs="Arial"/>
          <w:i/>
          <w:lang w:val="es-MX"/>
        </w:rPr>
        <w:t>Confirmado por Nexo epidemiológico</w:t>
      </w:r>
      <w:r w:rsidRPr="0053454D">
        <w:rPr>
          <w:rFonts w:ascii="Arial" w:hAnsi="Arial" w:cs="Arial"/>
          <w:lang w:val="es-MX"/>
        </w:rPr>
        <w:t>: contacto con un caso confirmado por laboratorio (prueba IgM indirecta o PCR positivo o cultivo viral positivo).</w:t>
      </w:r>
    </w:p>
    <w:p w:rsidR="00641F4E" w:rsidRPr="0053454D" w:rsidRDefault="00641F4E" w:rsidP="009D090C">
      <w:pPr>
        <w:spacing w:line="360" w:lineRule="auto"/>
        <w:jc w:val="both"/>
        <w:rPr>
          <w:rFonts w:ascii="Arial" w:hAnsi="Arial" w:cs="Arial"/>
          <w:lang w:val="es-MX"/>
        </w:rPr>
      </w:pPr>
    </w:p>
    <w:p w:rsidR="00641F4E" w:rsidRPr="0053454D" w:rsidRDefault="00641F4E" w:rsidP="009D090C">
      <w:pPr>
        <w:spacing w:line="360" w:lineRule="auto"/>
        <w:jc w:val="both"/>
        <w:rPr>
          <w:rFonts w:ascii="Arial" w:hAnsi="Arial" w:cs="Arial"/>
          <w:b/>
        </w:rPr>
      </w:pPr>
      <w:r w:rsidRPr="0053454D">
        <w:rPr>
          <w:rFonts w:ascii="Arial" w:hAnsi="Arial" w:cs="Arial"/>
          <w:b/>
          <w:lang w:val="es-CO"/>
        </w:rPr>
        <w:t xml:space="preserve">Acciones Individuales:  </w:t>
      </w:r>
    </w:p>
    <w:p w:rsidR="00641F4E" w:rsidRPr="0053454D" w:rsidRDefault="00641F4E" w:rsidP="009D090C">
      <w:pPr>
        <w:numPr>
          <w:ilvl w:val="0"/>
          <w:numId w:val="21"/>
        </w:numPr>
        <w:spacing w:line="360" w:lineRule="auto"/>
        <w:jc w:val="both"/>
        <w:rPr>
          <w:rFonts w:ascii="Arial" w:hAnsi="Arial" w:cs="Arial"/>
        </w:rPr>
      </w:pPr>
      <w:r w:rsidRPr="0053454D">
        <w:rPr>
          <w:rFonts w:ascii="Arial" w:hAnsi="Arial" w:cs="Arial"/>
          <w:lang w:val="es-CO"/>
        </w:rPr>
        <w:t xml:space="preserve">La notificación obligatoria e inmediata de todo caso sospechoso. </w:t>
      </w:r>
    </w:p>
    <w:p w:rsidR="00641F4E" w:rsidRPr="0053454D" w:rsidRDefault="00641F4E" w:rsidP="009D090C">
      <w:pPr>
        <w:numPr>
          <w:ilvl w:val="0"/>
          <w:numId w:val="21"/>
        </w:numPr>
        <w:spacing w:line="360" w:lineRule="auto"/>
        <w:jc w:val="both"/>
        <w:rPr>
          <w:rFonts w:ascii="Arial" w:hAnsi="Arial" w:cs="Arial"/>
        </w:rPr>
      </w:pPr>
      <w:r w:rsidRPr="0053454D">
        <w:rPr>
          <w:rFonts w:ascii="Arial" w:hAnsi="Arial" w:cs="Arial"/>
          <w:lang w:val="es-CO"/>
        </w:rPr>
        <w:t>De debe diligenciar la ficha de notificación y de investigación de caso sospechoso de sarampión o rubéola en su totalidad. Es obligatorio registrar la fecha de toma de las muestras.</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Es importante indicar al paciente  que debe permanecer aislado en su domicilio durante 5-7 días después de iniciada la erupción. El manejo hospitalario sólo es indicado en casos con signos y síntomas de complicaciones o con alto riesgo de complicación</w:t>
      </w:r>
      <w:r w:rsidR="00E6394A" w:rsidRPr="0053454D">
        <w:rPr>
          <w:rFonts w:ascii="Arial" w:hAnsi="Arial" w:cs="Arial"/>
          <w:lang w:val="es-CO"/>
        </w:rPr>
        <w:t>.</w:t>
      </w:r>
    </w:p>
    <w:p w:rsidR="00E6394A" w:rsidRPr="0053454D" w:rsidRDefault="00E6394A" w:rsidP="009D090C">
      <w:pPr>
        <w:pStyle w:val="Prrafodelista"/>
        <w:spacing w:line="360" w:lineRule="auto"/>
        <w:jc w:val="both"/>
        <w:rPr>
          <w:rFonts w:ascii="Arial" w:hAnsi="Arial" w:cs="Arial"/>
        </w:rPr>
      </w:pPr>
    </w:p>
    <w:p w:rsidR="00641F4E" w:rsidRPr="0053454D" w:rsidRDefault="00641F4E" w:rsidP="009D090C">
      <w:pPr>
        <w:spacing w:line="360" w:lineRule="auto"/>
        <w:ind w:left="360"/>
        <w:jc w:val="both"/>
        <w:rPr>
          <w:rFonts w:ascii="Arial" w:hAnsi="Arial" w:cs="Arial"/>
          <w:b/>
        </w:rPr>
      </w:pPr>
      <w:r w:rsidRPr="0053454D">
        <w:rPr>
          <w:rFonts w:ascii="Arial" w:hAnsi="Arial" w:cs="Arial"/>
          <w:b/>
          <w:lang w:val="es-CO"/>
        </w:rPr>
        <w:t>Acciones colectivas:</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Revisión de antecedentes de vacunación</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Identificación de antecedentes de viaje a sitios con circulación del virus.</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lastRenderedPageBreak/>
        <w:t>Identificación de contactos de casos confirmados</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Estrategia de vacunación-bloqueo- búsqueda de casos</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Seguimiento por 30 días a contactos y caso</w:t>
      </w:r>
    </w:p>
    <w:p w:rsidR="00641F4E" w:rsidRPr="0053454D" w:rsidRDefault="00641F4E" w:rsidP="009D090C">
      <w:pPr>
        <w:pStyle w:val="Prrafodelista"/>
        <w:numPr>
          <w:ilvl w:val="0"/>
          <w:numId w:val="22"/>
        </w:numPr>
        <w:spacing w:line="360" w:lineRule="auto"/>
        <w:jc w:val="both"/>
        <w:rPr>
          <w:rFonts w:ascii="Arial" w:hAnsi="Arial" w:cs="Arial"/>
        </w:rPr>
      </w:pPr>
      <w:r w:rsidRPr="0053454D">
        <w:rPr>
          <w:rFonts w:ascii="Arial" w:hAnsi="Arial" w:cs="Arial"/>
          <w:lang w:val="es-CO"/>
        </w:rPr>
        <w:t>Estrategias de promoción y prevención</w:t>
      </w:r>
    </w:p>
    <w:p w:rsidR="00641F4E" w:rsidRPr="0053454D" w:rsidRDefault="00641F4E" w:rsidP="009D090C">
      <w:pPr>
        <w:spacing w:line="360" w:lineRule="auto"/>
        <w:jc w:val="both"/>
        <w:rPr>
          <w:rFonts w:ascii="Arial" w:hAnsi="Arial" w:cs="Arial"/>
          <w:lang w:val="es-CO"/>
        </w:rPr>
      </w:pPr>
      <w:r w:rsidRPr="0053454D">
        <w:rPr>
          <w:rFonts w:ascii="Arial" w:hAnsi="Arial" w:cs="Arial"/>
        </w:rPr>
        <w:t xml:space="preserve">Es importante tener en cuenta que </w:t>
      </w:r>
      <w:r w:rsidRPr="0053454D">
        <w:rPr>
          <w:rFonts w:ascii="Arial" w:hAnsi="Arial" w:cs="Arial"/>
          <w:lang w:val="es-CO"/>
        </w:rPr>
        <w:t>la realización de pruebas de detección de sarampión IgM y rubéola IgM se realizan de forma gratuita en el Laboratorio de Salud Pública-LSP de la Secretaría Distrital de Salud- SDS.</w:t>
      </w:r>
    </w:p>
    <w:p w:rsidR="00641F4E" w:rsidRPr="0053454D" w:rsidRDefault="00641F4E" w:rsidP="009D090C">
      <w:pPr>
        <w:spacing w:line="360" w:lineRule="auto"/>
        <w:jc w:val="both"/>
        <w:rPr>
          <w:rFonts w:ascii="Arial" w:hAnsi="Arial" w:cs="Arial"/>
          <w:lang w:val="es-CO"/>
        </w:rPr>
      </w:pPr>
      <w:r w:rsidRPr="0053454D">
        <w:rPr>
          <w:rFonts w:ascii="Arial" w:hAnsi="Arial" w:cs="Arial"/>
          <w:lang w:val="es-CO"/>
        </w:rPr>
        <w:t xml:space="preserve">Por </w:t>
      </w:r>
      <w:r w:rsidR="009737FF" w:rsidRPr="0053454D">
        <w:rPr>
          <w:rFonts w:ascii="Arial" w:hAnsi="Arial" w:cs="Arial"/>
          <w:lang w:val="es-CO"/>
        </w:rPr>
        <w:t>último</w:t>
      </w:r>
      <w:r w:rsidRPr="0053454D">
        <w:rPr>
          <w:rFonts w:ascii="Arial" w:hAnsi="Arial" w:cs="Arial"/>
          <w:lang w:val="es-CO"/>
        </w:rPr>
        <w:t xml:space="preserve"> se da información referente a la circular 0005 del Ministerio de Salud y Protección Social y el Instituto Nacional de Salud, la cual dice que independientemente de que laboratorios particulares estén en capacidad de realizar pruebas de sarampión IgM o rubéola IgM y puedan reportar sus resultados, estos deben enviar de manera inmediata y obligatoria las muestras al LSP en los siguientes casos:</w:t>
      </w:r>
    </w:p>
    <w:p w:rsidR="00641F4E" w:rsidRPr="0053454D" w:rsidRDefault="00641F4E" w:rsidP="009D090C">
      <w:pPr>
        <w:numPr>
          <w:ilvl w:val="0"/>
          <w:numId w:val="23"/>
        </w:numPr>
        <w:spacing w:line="360" w:lineRule="auto"/>
        <w:jc w:val="both"/>
        <w:rPr>
          <w:rFonts w:ascii="Arial" w:hAnsi="Arial" w:cs="Arial"/>
        </w:rPr>
      </w:pPr>
      <w:r w:rsidRPr="0053454D">
        <w:rPr>
          <w:rFonts w:ascii="Arial" w:hAnsi="Arial" w:cs="Arial"/>
          <w:lang w:val="es-CO"/>
        </w:rPr>
        <w:t>Todo paciente que cumpla con la definición de caso sospechoso establecida en el protocolo de vigilancia de sarampión-rubéola.</w:t>
      </w:r>
    </w:p>
    <w:p w:rsidR="00641F4E" w:rsidRPr="0053454D" w:rsidRDefault="00641F4E" w:rsidP="009D090C">
      <w:pPr>
        <w:numPr>
          <w:ilvl w:val="0"/>
          <w:numId w:val="23"/>
        </w:numPr>
        <w:spacing w:line="360" w:lineRule="auto"/>
        <w:jc w:val="both"/>
        <w:rPr>
          <w:rFonts w:ascii="Arial" w:hAnsi="Arial" w:cs="Arial"/>
        </w:rPr>
      </w:pPr>
      <w:r w:rsidRPr="0053454D">
        <w:rPr>
          <w:rFonts w:ascii="Arial" w:hAnsi="Arial" w:cs="Arial"/>
          <w:lang w:val="es-CO"/>
        </w:rPr>
        <w:t>Toda muestra con resultado POSITIVO o INDETERMINADO en pruebas de Rubeola IgM cumpla o no con la definición de caso sospechoso.</w:t>
      </w:r>
    </w:p>
    <w:p w:rsidR="00BD4878" w:rsidRPr="0053454D" w:rsidRDefault="00641F4E" w:rsidP="009D090C">
      <w:pPr>
        <w:numPr>
          <w:ilvl w:val="0"/>
          <w:numId w:val="23"/>
        </w:numPr>
        <w:spacing w:line="360" w:lineRule="auto"/>
        <w:jc w:val="both"/>
        <w:rPr>
          <w:rFonts w:ascii="Arial" w:hAnsi="Arial" w:cs="Arial"/>
        </w:rPr>
      </w:pPr>
      <w:r w:rsidRPr="0053454D">
        <w:rPr>
          <w:rFonts w:ascii="Arial" w:hAnsi="Arial" w:cs="Arial"/>
          <w:lang w:val="es-CO"/>
        </w:rPr>
        <w:t>Todas las muestras que reciban con solicitud de prueba de sarampión IgM.</w:t>
      </w:r>
    </w:p>
    <w:p w:rsidR="00F567AA" w:rsidRPr="0053454D" w:rsidRDefault="009D090C" w:rsidP="009D090C">
      <w:pPr>
        <w:pStyle w:val="Prrafodelista"/>
        <w:numPr>
          <w:ilvl w:val="0"/>
          <w:numId w:val="24"/>
        </w:numPr>
        <w:suppressAutoHyphens/>
        <w:spacing w:after="200" w:line="360" w:lineRule="auto"/>
        <w:jc w:val="both"/>
        <w:rPr>
          <w:rFonts w:ascii="Arial" w:hAnsi="Arial" w:cs="Arial"/>
          <w:b/>
        </w:rPr>
      </w:pPr>
      <w:r w:rsidRPr="0053454D">
        <w:rPr>
          <w:rFonts w:ascii="Arial" w:hAnsi="Arial" w:cs="Arial"/>
          <w:b/>
        </w:rPr>
        <w:t xml:space="preserve">Socialización tableros de control SIVIGILA </w:t>
      </w:r>
    </w:p>
    <w:p w:rsidR="00374FB1" w:rsidRPr="00374FB1" w:rsidRDefault="00374FB1" w:rsidP="00374FB1">
      <w:pPr>
        <w:ind w:left="360"/>
        <w:jc w:val="both"/>
        <w:rPr>
          <w:rFonts w:ascii="Arial" w:hAnsi="Arial" w:cs="Arial"/>
          <w:sz w:val="20"/>
        </w:rPr>
      </w:pPr>
      <w:r w:rsidRPr="00374FB1">
        <w:rPr>
          <w:rFonts w:ascii="Arial" w:hAnsi="Arial" w:cs="Arial"/>
          <w:sz w:val="20"/>
        </w:rPr>
        <w:t>La profesional especializada de SIVIGILA realiza presentación de los tableros de control de la localidad de suba se evidencia a estas UPGD sin ingreso total de laboratorios:</w:t>
      </w:r>
    </w:p>
    <w:tbl>
      <w:tblPr>
        <w:tblW w:w="5940" w:type="dxa"/>
        <w:tblCellMar>
          <w:left w:w="70" w:type="dxa"/>
          <w:right w:w="70" w:type="dxa"/>
        </w:tblCellMar>
        <w:tblLook w:val="04A0" w:firstRow="1" w:lastRow="0" w:firstColumn="1" w:lastColumn="0" w:noHBand="0" w:noVBand="1"/>
      </w:tblPr>
      <w:tblGrid>
        <w:gridCol w:w="5940"/>
      </w:tblGrid>
      <w:tr w:rsidR="00374FB1" w:rsidRPr="00DB7CD8" w:rsidTr="00E967F7">
        <w:trPr>
          <w:trHeight w:val="315"/>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B1" w:rsidRPr="00DB7CD8" w:rsidRDefault="00374FB1" w:rsidP="00E967F7">
            <w:pPr>
              <w:rPr>
                <w:rFonts w:ascii="Arial" w:hAnsi="Arial" w:cs="Arial"/>
                <w:color w:val="000000"/>
                <w:sz w:val="20"/>
                <w:lang w:val="es-MX" w:eastAsia="es-MX"/>
              </w:rPr>
            </w:pPr>
            <w:r w:rsidRPr="00DB7CD8">
              <w:rPr>
                <w:rFonts w:ascii="Arial" w:hAnsi="Arial" w:cs="Arial"/>
                <w:color w:val="000000"/>
                <w:sz w:val="20"/>
                <w:lang w:val="es-MX" w:eastAsia="es-MX"/>
              </w:rPr>
              <w:t>CENTRO DE ATENCION EN SALUD CAFAM SUBA</w:t>
            </w:r>
          </w:p>
        </w:tc>
      </w:tr>
      <w:tr w:rsidR="00374FB1" w:rsidRPr="00DB7CD8" w:rsidTr="00E967F7">
        <w:trPr>
          <w:trHeight w:val="315"/>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rsidR="00374FB1" w:rsidRPr="00DB7CD8" w:rsidRDefault="00374FB1" w:rsidP="00E967F7">
            <w:pPr>
              <w:rPr>
                <w:rFonts w:ascii="Arial" w:hAnsi="Arial" w:cs="Arial"/>
                <w:color w:val="000000"/>
                <w:sz w:val="20"/>
                <w:lang w:val="es-MX" w:eastAsia="es-MX"/>
              </w:rPr>
            </w:pPr>
            <w:r w:rsidRPr="00DB7CD8">
              <w:rPr>
                <w:rFonts w:ascii="Arial" w:hAnsi="Arial" w:cs="Arial"/>
                <w:color w:val="000000"/>
                <w:sz w:val="20"/>
                <w:lang w:val="es-MX" w:eastAsia="es-MX"/>
              </w:rPr>
              <w:t>CLINICA ESIMED JORGE PIÑEROS CORPAS</w:t>
            </w:r>
          </w:p>
        </w:tc>
      </w:tr>
      <w:tr w:rsidR="00374FB1" w:rsidRPr="00DB7CD8" w:rsidTr="00E967F7">
        <w:trPr>
          <w:trHeight w:val="315"/>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rsidR="00374FB1" w:rsidRPr="00DB7CD8" w:rsidRDefault="00374FB1" w:rsidP="00E967F7">
            <w:pPr>
              <w:rPr>
                <w:rFonts w:ascii="Arial" w:hAnsi="Arial" w:cs="Arial"/>
                <w:color w:val="000000"/>
                <w:sz w:val="20"/>
                <w:lang w:val="es-MX" w:eastAsia="es-MX"/>
              </w:rPr>
            </w:pPr>
            <w:r w:rsidRPr="00DB7CD8">
              <w:rPr>
                <w:rFonts w:ascii="Arial" w:hAnsi="Arial" w:cs="Arial"/>
                <w:color w:val="000000"/>
                <w:sz w:val="20"/>
                <w:lang w:val="es-MX" w:eastAsia="es-MX"/>
              </w:rPr>
              <w:t>CLINICA JUAN N CORPAS LTDA</w:t>
            </w:r>
          </w:p>
        </w:tc>
      </w:tr>
      <w:tr w:rsidR="00374FB1" w:rsidRPr="00DB7CD8" w:rsidTr="00E967F7">
        <w:trPr>
          <w:trHeight w:val="315"/>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rsidR="00374FB1" w:rsidRPr="00DB7CD8" w:rsidRDefault="00374FB1" w:rsidP="00E967F7">
            <w:pPr>
              <w:rPr>
                <w:rFonts w:ascii="Arial" w:hAnsi="Arial" w:cs="Arial"/>
                <w:color w:val="000000"/>
                <w:sz w:val="20"/>
                <w:lang w:val="es-MX" w:eastAsia="es-MX"/>
              </w:rPr>
            </w:pPr>
            <w:r w:rsidRPr="00DB7CD8">
              <w:rPr>
                <w:rFonts w:ascii="Arial" w:hAnsi="Arial" w:cs="Arial"/>
                <w:color w:val="000000"/>
                <w:sz w:val="20"/>
                <w:lang w:val="es-MX" w:eastAsia="es-MX"/>
              </w:rPr>
              <w:t>UNIDAD DE SERVICIOS DE SALUD CENTRO DE SERVICIOS E</w:t>
            </w:r>
          </w:p>
        </w:tc>
      </w:tr>
    </w:tbl>
    <w:p w:rsidR="00374FB1" w:rsidRPr="00374FB1" w:rsidRDefault="00374FB1" w:rsidP="00374FB1">
      <w:pPr>
        <w:jc w:val="both"/>
        <w:rPr>
          <w:rFonts w:ascii="Arial" w:hAnsi="Arial" w:cs="Arial"/>
          <w:sz w:val="20"/>
          <w:lang w:val="es-MX"/>
        </w:rPr>
      </w:pPr>
    </w:p>
    <w:p w:rsidR="00374FB1" w:rsidRPr="00374FB1" w:rsidRDefault="00374FB1" w:rsidP="00374FB1">
      <w:pPr>
        <w:jc w:val="both"/>
        <w:rPr>
          <w:rFonts w:ascii="Arial" w:hAnsi="Arial" w:cs="Arial"/>
          <w:sz w:val="20"/>
          <w:lang w:val="es-MX"/>
        </w:rPr>
      </w:pPr>
      <w:r w:rsidRPr="00374FB1">
        <w:rPr>
          <w:rFonts w:ascii="Arial" w:hAnsi="Arial" w:cs="Arial"/>
          <w:sz w:val="20"/>
          <w:lang w:val="es-MX"/>
        </w:rPr>
        <w:t>Se les pide que revisen cada una en la unidad y sean ingresados los laboratorios correspondientes para verificación el próximo mes, se manifiesta que si existen dudas de cualquier evento soliciten capacitación por cada uno de los referentes que hay en Vigilancia de Salud Pública para despejar cualquier inquietud.</w:t>
      </w:r>
    </w:p>
    <w:p w:rsidR="00374FB1" w:rsidRDefault="00374FB1" w:rsidP="00374FB1">
      <w:pPr>
        <w:jc w:val="both"/>
        <w:rPr>
          <w:rFonts w:ascii="Arial" w:hAnsi="Arial" w:cs="Arial"/>
          <w:sz w:val="20"/>
          <w:lang w:val="es-MX"/>
        </w:rPr>
      </w:pPr>
      <w:r w:rsidRPr="00374FB1">
        <w:rPr>
          <w:rFonts w:ascii="Arial" w:hAnsi="Arial" w:cs="Arial"/>
          <w:sz w:val="20"/>
          <w:lang w:val="es-MX"/>
        </w:rPr>
        <w:t>Se hace observación nuevamente de la notificación inmediata de los eventos en los que en este momento estamos en alerta, se recuerda también que esta notificación debe ser enviada con ficha y planos respectivamente para poder dar una respuesta oportuna a dichos eventos.</w:t>
      </w:r>
    </w:p>
    <w:p w:rsidR="00374FB1" w:rsidRDefault="00374FB1" w:rsidP="00374FB1">
      <w:pPr>
        <w:jc w:val="both"/>
        <w:rPr>
          <w:rFonts w:ascii="Arial" w:hAnsi="Arial" w:cs="Arial"/>
          <w:sz w:val="20"/>
          <w:lang w:val="es-MX"/>
        </w:rPr>
      </w:pPr>
    </w:p>
    <w:p w:rsidR="00374FB1" w:rsidRPr="00374FB1" w:rsidRDefault="00374FB1" w:rsidP="00374FB1">
      <w:pPr>
        <w:jc w:val="both"/>
        <w:rPr>
          <w:rFonts w:ascii="Arial" w:hAnsi="Arial" w:cs="Arial"/>
          <w:sz w:val="20"/>
          <w:lang w:val="es-MX"/>
        </w:rPr>
      </w:pPr>
    </w:p>
    <w:p w:rsidR="00BD4878" w:rsidRPr="0053454D" w:rsidRDefault="00BD4878" w:rsidP="009D090C">
      <w:pPr>
        <w:pStyle w:val="Sinespaciado"/>
        <w:numPr>
          <w:ilvl w:val="0"/>
          <w:numId w:val="24"/>
        </w:numPr>
        <w:spacing w:line="360" w:lineRule="auto"/>
        <w:jc w:val="both"/>
        <w:rPr>
          <w:rFonts w:ascii="Arial" w:hAnsi="Arial" w:cs="Arial"/>
          <w:b/>
          <w:sz w:val="22"/>
          <w:szCs w:val="22"/>
          <w:lang w:val="es-ES"/>
        </w:rPr>
      </w:pPr>
      <w:r w:rsidRPr="0053454D">
        <w:rPr>
          <w:rFonts w:ascii="Arial" w:hAnsi="Arial" w:cs="Arial"/>
          <w:b/>
          <w:sz w:val="22"/>
          <w:szCs w:val="22"/>
          <w:lang w:val="es-ES"/>
        </w:rPr>
        <w:lastRenderedPageBreak/>
        <w:t xml:space="preserve">SOCIALIZACIÓN DE ALERTAS EN SALUD </w:t>
      </w:r>
      <w:r w:rsidR="002120D6" w:rsidRPr="0053454D">
        <w:rPr>
          <w:rFonts w:ascii="Arial" w:hAnsi="Arial" w:cs="Arial"/>
          <w:b/>
          <w:sz w:val="22"/>
          <w:szCs w:val="22"/>
          <w:lang w:val="es-ES"/>
        </w:rPr>
        <w:t>PÚBLICA</w:t>
      </w:r>
      <w:r w:rsidRPr="0053454D">
        <w:rPr>
          <w:rFonts w:ascii="Arial" w:hAnsi="Arial" w:cs="Arial"/>
          <w:b/>
          <w:sz w:val="22"/>
          <w:szCs w:val="22"/>
          <w:lang w:val="es-ES"/>
        </w:rPr>
        <w:t>.</w:t>
      </w:r>
    </w:p>
    <w:p w:rsidR="00BD4878" w:rsidRPr="0053454D" w:rsidRDefault="00BD4878" w:rsidP="009D090C">
      <w:pPr>
        <w:spacing w:line="360" w:lineRule="auto"/>
        <w:jc w:val="both"/>
        <w:rPr>
          <w:rFonts w:ascii="Arial" w:hAnsi="Arial" w:cs="Arial"/>
          <w:bCs/>
        </w:rPr>
      </w:pP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 xml:space="preserve">Se realiza  socialización de alerta de Tos Ferina, </w:t>
      </w:r>
      <w:r w:rsidRPr="0053454D">
        <w:rPr>
          <w:rFonts w:ascii="Arial" w:hAnsi="Arial" w:cs="Arial"/>
          <w:bCs/>
          <w:lang w:val="es-CO"/>
        </w:rPr>
        <w:t>La tos ferina es una enfermedad  bacteriana producida por la Bordetella pertussis</w:t>
      </w:r>
      <w:r w:rsidR="0091551C" w:rsidRPr="0053454D">
        <w:rPr>
          <w:rFonts w:ascii="Arial" w:hAnsi="Arial" w:cs="Arial"/>
          <w:bCs/>
          <w:lang w:val="es-CO"/>
        </w:rPr>
        <w:t>,</w:t>
      </w:r>
      <w:r w:rsidRPr="0053454D">
        <w:rPr>
          <w:rFonts w:ascii="Arial" w:hAnsi="Arial" w:cs="Arial"/>
          <w:bCs/>
          <w:lang w:val="es-CO"/>
        </w:rPr>
        <w:t xml:space="preserve">  su transmisión es por vía respiratoria siendo  altamente contagiosa, endémica en cualquier época del año y con distribución mundial; se caracteriza por presentar ciclos epidémicos (cada tres a cuatro años), afect</w:t>
      </w:r>
      <w:r w:rsidR="009E3238" w:rsidRPr="0053454D">
        <w:rPr>
          <w:rFonts w:ascii="Arial" w:hAnsi="Arial" w:cs="Arial"/>
          <w:bCs/>
          <w:lang w:val="es-CO"/>
        </w:rPr>
        <w:t>ando a todos los ciclos vitales.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La principal medida de prevención  es la inmunización activa empleando vacuna bacteriana triple (difteria, tétanos y tos ferina —DPT</w:t>
      </w:r>
      <w:r w:rsidR="00C45494" w:rsidRPr="0053454D">
        <w:rPr>
          <w:rFonts w:ascii="Arial" w:hAnsi="Arial" w:cs="Arial"/>
          <w:bCs/>
          <w:lang w:val="es-CO"/>
        </w:rPr>
        <w:t>).</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La incidencia actual de la tos ferina se calcula en 3,6 casos por 100 000 habitantes en el mundo,</w:t>
      </w:r>
      <w:r w:rsidR="00C45494" w:rsidRPr="0053454D">
        <w:rPr>
          <w:rFonts w:ascii="Arial" w:hAnsi="Arial" w:cs="Arial"/>
          <w:bCs/>
          <w:lang w:val="es-CO"/>
        </w:rPr>
        <w:t xml:space="preserve"> </w:t>
      </w:r>
      <w:r w:rsidRPr="0053454D">
        <w:rPr>
          <w:rFonts w:ascii="Arial" w:hAnsi="Arial" w:cs="Arial"/>
          <w:bCs/>
        </w:rPr>
        <w:t>EPV que aun  continua teniendo una  importante  morbilidad y mortalidad  en la población infantil con 50 millones de casos y 300 000 defunciones anuales</w:t>
      </w:r>
      <w:r w:rsidR="00C45494" w:rsidRPr="0053454D">
        <w:rPr>
          <w:rFonts w:ascii="Arial" w:hAnsi="Arial" w:cs="Arial"/>
          <w:bCs/>
        </w:rPr>
        <w:t>.</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Letalidad en países en desarrollo llega hasta un 4 % en los menores de 12 meses.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OMS: 2012 Esta lejos la erradicación de la tos ferina: 62 % de los casos reportados en el mundo correspondieron a menores de un año y 32 % menores de tres meses de edad. Dos tercios de los pacientes eran contagiados por sus familiares (padre, madre o hermanos).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 xml:space="preserve">En las </w:t>
      </w:r>
      <w:r w:rsidR="00F3163C" w:rsidRPr="0053454D">
        <w:rPr>
          <w:rFonts w:ascii="Arial" w:hAnsi="Arial" w:cs="Arial"/>
          <w:bCs/>
        </w:rPr>
        <w:t>Américas:</w:t>
      </w:r>
      <w:r w:rsidRPr="0053454D">
        <w:rPr>
          <w:rFonts w:ascii="Arial" w:hAnsi="Arial" w:cs="Arial"/>
          <w:bCs/>
        </w:rPr>
        <w:t xml:space="preserve"> casos anuales registrados  entre 15 000 y 34 000 en los últimos diez años.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lang w:val="es-CO"/>
        </w:rPr>
        <w:t xml:space="preserve"> Año 2000 se  empezaron a documentar brotes en EEUU en lactantes y  aumento de casos en  adolescentes durante 2004 y 2005  a partir del cual se ha evidenciado un aumento sostenido de la enfermedad, a nivel mundial</w:t>
      </w:r>
      <w:r w:rsidR="00B15E94" w:rsidRPr="0053454D">
        <w:rPr>
          <w:rFonts w:ascii="Arial" w:hAnsi="Arial" w:cs="Arial"/>
          <w:bCs/>
          <w:lang w:val="es-CO"/>
        </w:rPr>
        <w:t>.</w:t>
      </w:r>
    </w:p>
    <w:p w:rsidR="00BD4878" w:rsidRPr="0053454D" w:rsidRDefault="00BD4878" w:rsidP="009D090C">
      <w:pPr>
        <w:spacing w:line="360" w:lineRule="auto"/>
        <w:jc w:val="both"/>
        <w:rPr>
          <w:rFonts w:ascii="Arial" w:hAnsi="Arial" w:cs="Arial"/>
          <w:bCs/>
          <w:lang w:val="es-CO"/>
        </w:rPr>
      </w:pPr>
      <w:r w:rsidRPr="0053454D">
        <w:rPr>
          <w:rFonts w:ascii="Arial" w:hAnsi="Arial" w:cs="Arial"/>
          <w:bCs/>
          <w:lang w:val="es-CO"/>
        </w:rPr>
        <w:t>Marzo de  2012 la OMS  alertó a   los países miembros frente al aumento de casos en Inglaterra, Australia y España entre otros países, en Noviembre la OPS    confirmo el aumento de casos durante el mismo año  en 9 países de las Américas.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lang w:val="es-CO"/>
        </w:rPr>
        <w:t>Bogotá: incidencia de 5,11 casos por 100 mil habitantes en el 2011, y 9,13 en 2012, de estos casos el 80% correspondieron a menores de un año de edad (637 casos). La letalidad fue de 3,4% (23 muertes) todos las mortalidades se dieron en niños menores de 6 meses.</w:t>
      </w:r>
    </w:p>
    <w:p w:rsidR="00BD4878" w:rsidRPr="0053454D" w:rsidRDefault="00BD4878" w:rsidP="009D090C">
      <w:pPr>
        <w:spacing w:line="360" w:lineRule="auto"/>
        <w:jc w:val="both"/>
        <w:rPr>
          <w:rFonts w:ascii="Arial" w:hAnsi="Arial" w:cs="Arial"/>
          <w:bCs/>
          <w:lang w:val="es-CO"/>
        </w:rPr>
      </w:pPr>
      <w:r w:rsidRPr="0053454D">
        <w:rPr>
          <w:rFonts w:ascii="Arial" w:hAnsi="Arial" w:cs="Arial"/>
          <w:bCs/>
        </w:rPr>
        <w:t xml:space="preserve">En el año 2012 la SDS decidió instaurar  como estrategia complementaria, vacunar a todas las mujeres embarazadas con el objeto de disminuir la mortalidad en lactantes menores de 3 meses, en el año 2013  se  evidenció una  disminución del 70%  de los </w:t>
      </w:r>
      <w:r w:rsidRPr="0053454D">
        <w:rPr>
          <w:rFonts w:ascii="Arial" w:hAnsi="Arial" w:cs="Arial"/>
          <w:bCs/>
        </w:rPr>
        <w:lastRenderedPageBreak/>
        <w:t>casos de tos ferina en niños menores de seis meses; disminución en la mortalidad del 88% al pasar de  23 niños fallecidos  en el 2012 a tres en el año 2013.</w:t>
      </w:r>
    </w:p>
    <w:p w:rsidR="00BD4878" w:rsidRPr="0053454D" w:rsidRDefault="00BD4878" w:rsidP="009D090C">
      <w:pPr>
        <w:pStyle w:val="Prrafodelista"/>
        <w:spacing w:line="360" w:lineRule="auto"/>
        <w:ind w:left="360"/>
        <w:jc w:val="both"/>
        <w:rPr>
          <w:rFonts w:ascii="Arial" w:hAnsi="Arial" w:cs="Arial"/>
          <w:bCs/>
        </w:rPr>
      </w:pPr>
    </w:p>
    <w:p w:rsidR="00BD4878" w:rsidRPr="0053454D" w:rsidRDefault="00BD4878" w:rsidP="009D090C">
      <w:pPr>
        <w:spacing w:line="360" w:lineRule="auto"/>
        <w:jc w:val="both"/>
        <w:rPr>
          <w:rFonts w:ascii="Arial" w:hAnsi="Arial" w:cs="Arial"/>
          <w:bCs/>
        </w:rPr>
      </w:pPr>
      <w:r w:rsidRPr="0053454D">
        <w:rPr>
          <w:rFonts w:ascii="Arial" w:hAnsi="Arial" w:cs="Arial"/>
          <w:bCs/>
        </w:rPr>
        <w:t xml:space="preserve">Agente </w:t>
      </w:r>
      <w:r w:rsidR="00B15E94" w:rsidRPr="0053454D">
        <w:rPr>
          <w:rFonts w:ascii="Arial" w:hAnsi="Arial" w:cs="Arial"/>
          <w:bCs/>
        </w:rPr>
        <w:t>etiológico:</w:t>
      </w:r>
      <w:r w:rsidRPr="0053454D">
        <w:rPr>
          <w:rFonts w:ascii="Arial" w:hAnsi="Arial" w:cs="Arial"/>
        </w:rPr>
        <w:t xml:space="preserve"> </w:t>
      </w:r>
      <w:r w:rsidRPr="0053454D">
        <w:rPr>
          <w:rFonts w:ascii="Arial" w:hAnsi="Arial" w:cs="Arial"/>
          <w:bCs/>
        </w:rPr>
        <w:t>La tos ferina es una enfermedad causada principalmente por Bordetella pertussis, sin embargo existen otras especies del género Bordetella que puedan causar infección respiratoria como B. parapertussis, B. holmesii y B. bronchiseptica este último conocido como un patógeno animal pero que rara vez infecta a personas inmunocomprometidas</w:t>
      </w:r>
      <w:r w:rsidR="00B15E94" w:rsidRPr="0053454D">
        <w:rPr>
          <w:rFonts w:ascii="Arial" w:hAnsi="Arial" w:cs="Arial"/>
          <w:bCs/>
        </w:rPr>
        <w:t>.</w:t>
      </w:r>
      <w:r w:rsidRPr="0053454D">
        <w:rPr>
          <w:rFonts w:ascii="Arial" w:hAnsi="Arial" w:cs="Arial"/>
          <w:bCs/>
        </w:rPr>
        <w:t xml:space="preserve"> </w:t>
      </w:r>
    </w:p>
    <w:p w:rsidR="00BD4878" w:rsidRPr="0053454D" w:rsidRDefault="00BD4878" w:rsidP="009D090C">
      <w:pPr>
        <w:pStyle w:val="Prrafodelista"/>
        <w:widowControl w:val="0"/>
        <w:autoSpaceDE w:val="0"/>
        <w:autoSpaceDN w:val="0"/>
        <w:adjustRightInd w:val="0"/>
        <w:spacing w:after="240" w:line="360" w:lineRule="auto"/>
        <w:ind w:left="360"/>
        <w:jc w:val="both"/>
        <w:rPr>
          <w:rFonts w:ascii="Arial" w:hAnsi="Arial" w:cs="Arial"/>
        </w:rPr>
      </w:pPr>
      <w:r w:rsidRPr="0053454D">
        <w:rPr>
          <w:rFonts w:ascii="Arial" w:hAnsi="Arial" w:cs="Arial"/>
          <w:bCs/>
        </w:rPr>
        <w:t xml:space="preserve">Modo de transmisión: </w:t>
      </w:r>
      <w:r w:rsidRPr="0053454D">
        <w:rPr>
          <w:rFonts w:ascii="Arial" w:hAnsi="Arial" w:cs="Arial"/>
        </w:rPr>
        <w:t>El agente causal de la Tos ferina se transmite por contacto directo (persona a persona) a través de las gotas de secreciones de las mucosas respiratorias de una persona infectada a una susceptible en un rango de un metro de distancia.</w:t>
      </w:r>
    </w:p>
    <w:p w:rsidR="00BD4878" w:rsidRPr="0053454D" w:rsidRDefault="00BD4878" w:rsidP="009D090C">
      <w:pPr>
        <w:pStyle w:val="Prrafodelista"/>
        <w:widowControl w:val="0"/>
        <w:autoSpaceDE w:val="0"/>
        <w:autoSpaceDN w:val="0"/>
        <w:adjustRightInd w:val="0"/>
        <w:spacing w:after="240" w:line="360" w:lineRule="auto"/>
        <w:ind w:left="360"/>
        <w:jc w:val="both"/>
        <w:rPr>
          <w:rFonts w:ascii="Arial" w:hAnsi="Arial" w:cs="Arial"/>
        </w:rPr>
      </w:pPr>
      <w:r w:rsidRPr="0053454D">
        <w:rPr>
          <w:rFonts w:ascii="Arial" w:hAnsi="Arial" w:cs="Arial"/>
        </w:rPr>
        <w:t xml:space="preserve">Período de incubación: 6 y 10 días, con un rango de 4 a 21 días. </w:t>
      </w:r>
    </w:p>
    <w:p w:rsidR="00BD4878" w:rsidRPr="0053454D" w:rsidRDefault="00BD4878" w:rsidP="009D090C">
      <w:pPr>
        <w:widowControl w:val="0"/>
        <w:autoSpaceDE w:val="0"/>
        <w:autoSpaceDN w:val="0"/>
        <w:adjustRightInd w:val="0"/>
        <w:spacing w:after="240" w:line="360" w:lineRule="auto"/>
        <w:jc w:val="both"/>
        <w:rPr>
          <w:rFonts w:ascii="Arial" w:hAnsi="Arial" w:cs="Arial"/>
        </w:rPr>
      </w:pPr>
      <w:r w:rsidRPr="0053454D">
        <w:rPr>
          <w:rFonts w:ascii="Arial" w:hAnsi="Arial" w:cs="Arial"/>
        </w:rPr>
        <w:t xml:space="preserve">Período de transmisibilidad: Es especialmente transmisible en la fase catarral temprana antes de la tos paroxística; por ello las mejores muestras en una investigación de campo son las de los contactos que apenas inician síntomas (5 a 7 días); esta transmisibilidad disminuye poco a poco y llega a sus niveles más bajos en una a tres semanas. </w:t>
      </w:r>
    </w:p>
    <w:p w:rsidR="00BD4878" w:rsidRPr="0053454D" w:rsidRDefault="00BD4878" w:rsidP="009D090C">
      <w:pPr>
        <w:widowControl w:val="0"/>
        <w:autoSpaceDE w:val="0"/>
        <w:autoSpaceDN w:val="0"/>
        <w:adjustRightInd w:val="0"/>
        <w:spacing w:after="240" w:line="360" w:lineRule="auto"/>
        <w:jc w:val="both"/>
        <w:rPr>
          <w:rFonts w:ascii="Arial" w:hAnsi="Arial" w:cs="Arial"/>
        </w:rPr>
      </w:pPr>
      <w:r w:rsidRPr="0053454D">
        <w:rPr>
          <w:rFonts w:ascii="Arial" w:hAnsi="Arial" w:cs="Arial"/>
        </w:rPr>
        <w:t xml:space="preserve">Con fines de control, se considera que la transmisibilidad se extiende desde la fase catarral hasta tres semanas después de comenzar los paroxismos, en pacientes que no han recibido tratamiento con antibiótico que sean contacto estrecho. </w:t>
      </w:r>
    </w:p>
    <w:p w:rsidR="00BD4878" w:rsidRPr="0053454D" w:rsidRDefault="00BD4878" w:rsidP="009D090C">
      <w:pPr>
        <w:widowControl w:val="0"/>
        <w:autoSpaceDE w:val="0"/>
        <w:autoSpaceDN w:val="0"/>
        <w:adjustRightInd w:val="0"/>
        <w:spacing w:after="240" w:line="360" w:lineRule="auto"/>
        <w:jc w:val="both"/>
        <w:rPr>
          <w:rFonts w:ascii="Arial" w:hAnsi="Arial" w:cs="Arial"/>
        </w:rPr>
      </w:pPr>
      <w:r w:rsidRPr="0053454D">
        <w:rPr>
          <w:rFonts w:ascii="Arial" w:hAnsi="Arial" w:cs="Arial"/>
        </w:rPr>
        <w:t>En caso de haberse iniciado terapia antimicrobiana, el periodo de infección puede durar alrededor de cinco días o menos, de</w:t>
      </w:r>
      <w:r w:rsidR="00F26940" w:rsidRPr="0053454D">
        <w:rPr>
          <w:rFonts w:ascii="Arial" w:hAnsi="Arial" w:cs="Arial"/>
        </w:rPr>
        <w:t>spués de iniciar la antibioticot</w:t>
      </w:r>
      <w:r w:rsidRPr="0053454D">
        <w:rPr>
          <w:rFonts w:ascii="Arial" w:hAnsi="Arial" w:cs="Arial"/>
        </w:rPr>
        <w:t xml:space="preserve">erapia (principalmente con eritromicina). </w:t>
      </w:r>
    </w:p>
    <w:p w:rsidR="00BD4878" w:rsidRPr="0053454D" w:rsidRDefault="00BD4878" w:rsidP="009D090C">
      <w:pPr>
        <w:widowControl w:val="0"/>
        <w:autoSpaceDE w:val="0"/>
        <w:autoSpaceDN w:val="0"/>
        <w:adjustRightInd w:val="0"/>
        <w:spacing w:after="240" w:line="360" w:lineRule="auto"/>
        <w:jc w:val="both"/>
        <w:rPr>
          <w:rFonts w:ascii="Arial" w:hAnsi="Arial" w:cs="Arial"/>
          <w:lang w:val="es-CO"/>
        </w:rPr>
      </w:pPr>
      <w:r w:rsidRPr="0053454D">
        <w:rPr>
          <w:rFonts w:ascii="Arial" w:hAnsi="Arial" w:cs="Arial"/>
        </w:rPr>
        <w:t xml:space="preserve">Toma de muestras: Idealmente deben tomarse dos </w:t>
      </w:r>
      <w:r w:rsidRPr="0053454D">
        <w:rPr>
          <w:rFonts w:ascii="Arial" w:hAnsi="Arial" w:cs="Arial"/>
          <w:bCs/>
        </w:rPr>
        <w:t xml:space="preserve">aspirados nasofaríngeos (AN) </w:t>
      </w:r>
      <w:r w:rsidRPr="0053454D">
        <w:rPr>
          <w:rFonts w:ascii="Arial" w:hAnsi="Arial" w:cs="Arial"/>
        </w:rPr>
        <w:t xml:space="preserve">o dos </w:t>
      </w:r>
      <w:r w:rsidRPr="0053454D">
        <w:rPr>
          <w:rFonts w:ascii="Arial" w:hAnsi="Arial" w:cs="Arial"/>
          <w:bCs/>
        </w:rPr>
        <w:t>hisopados</w:t>
      </w:r>
    </w:p>
    <w:p w:rsidR="00BD4878" w:rsidRPr="0053454D" w:rsidRDefault="00BD4878" w:rsidP="009D090C">
      <w:pPr>
        <w:widowControl w:val="0"/>
        <w:autoSpaceDE w:val="0"/>
        <w:autoSpaceDN w:val="0"/>
        <w:adjustRightInd w:val="0"/>
        <w:spacing w:after="240" w:line="360" w:lineRule="auto"/>
        <w:jc w:val="both"/>
        <w:rPr>
          <w:rFonts w:ascii="Arial" w:hAnsi="Arial" w:cs="Arial"/>
          <w:lang w:val="es-CO"/>
        </w:rPr>
      </w:pPr>
      <w:proofErr w:type="gramStart"/>
      <w:r w:rsidRPr="0053454D">
        <w:rPr>
          <w:rFonts w:ascii="Arial" w:hAnsi="Arial" w:cs="Arial"/>
          <w:bCs/>
        </w:rPr>
        <w:t>nasofaríngeos</w:t>
      </w:r>
      <w:proofErr w:type="gramEnd"/>
      <w:r w:rsidRPr="0053454D">
        <w:rPr>
          <w:rFonts w:ascii="Arial" w:hAnsi="Arial" w:cs="Arial"/>
          <w:bCs/>
        </w:rPr>
        <w:t xml:space="preserve"> (HN)</w:t>
      </w:r>
      <w:r w:rsidRPr="0053454D">
        <w:rPr>
          <w:rFonts w:ascii="Arial" w:hAnsi="Arial" w:cs="Arial"/>
        </w:rPr>
        <w:t>, uno para cultivo y otro para una prueba de PCR; las puntas de los hisopos pueden ser de poliéster, dacrón, rayón o nylon, el mango del hisopo debe ser de aluminio o plástico flexible, no son aceptados los hisopos de punta de algodón o de alginato de calcio por que los residuos presentes en estos materiales pueden inhibir las pruebas.</w:t>
      </w:r>
    </w:p>
    <w:p w:rsidR="00BD4878" w:rsidRPr="0053454D" w:rsidRDefault="00BD4878" w:rsidP="009D090C">
      <w:pPr>
        <w:widowControl w:val="0"/>
        <w:autoSpaceDE w:val="0"/>
        <w:autoSpaceDN w:val="0"/>
        <w:adjustRightInd w:val="0"/>
        <w:spacing w:after="240" w:line="360" w:lineRule="auto"/>
        <w:jc w:val="both"/>
        <w:rPr>
          <w:rFonts w:ascii="Arial" w:hAnsi="Arial" w:cs="Arial"/>
          <w:lang w:val="es-CO"/>
        </w:rPr>
      </w:pPr>
      <w:r w:rsidRPr="0053454D">
        <w:rPr>
          <w:rFonts w:ascii="Arial" w:hAnsi="Arial" w:cs="Arial"/>
        </w:rPr>
        <w:t>Cuando el niño o la persona hayan iniciado el tratamiento antimicrobiano, es</w:t>
      </w:r>
      <w:r w:rsidRPr="0053454D">
        <w:rPr>
          <w:rFonts w:ascii="Arial" w:hAnsi="Arial" w:cs="Arial"/>
          <w:lang w:val="es-CO"/>
        </w:rPr>
        <w:t xml:space="preserve"> </w:t>
      </w:r>
      <w:r w:rsidRPr="0053454D">
        <w:rPr>
          <w:rFonts w:ascii="Arial" w:hAnsi="Arial" w:cs="Arial"/>
        </w:rPr>
        <w:lastRenderedPageBreak/>
        <w:t>recomendable tomar la muestra antes del inicio del tratamiento, pues esto contribuiría a un mejor diagnóstico por el laboratorio.</w:t>
      </w:r>
      <w:r w:rsidRPr="0053454D">
        <w:rPr>
          <w:rFonts w:ascii="Arial" w:hAnsi="Arial" w:cs="Arial"/>
          <w:lang w:val="es-CO"/>
        </w:rPr>
        <w:t xml:space="preserve"> </w:t>
      </w:r>
      <w:r w:rsidRPr="0053454D">
        <w:rPr>
          <w:rFonts w:ascii="Arial" w:hAnsi="Arial" w:cs="Arial"/>
        </w:rPr>
        <w:t>Las muestras de PCR se pueden tomar máximo 72 horas después de iniciar</w:t>
      </w:r>
      <w:r w:rsidRPr="0053454D">
        <w:rPr>
          <w:rFonts w:ascii="Arial" w:hAnsi="Arial" w:cs="Arial"/>
          <w:lang w:val="es-CO"/>
        </w:rPr>
        <w:t xml:space="preserve"> </w:t>
      </w:r>
      <w:r w:rsidRPr="0053454D">
        <w:rPr>
          <w:rFonts w:ascii="Arial" w:hAnsi="Arial" w:cs="Arial"/>
        </w:rPr>
        <w:t>tratamiento antimicrobiano para evitar resultados falsos negativos.</w:t>
      </w:r>
    </w:p>
    <w:p w:rsidR="00BD4878" w:rsidRPr="0053454D" w:rsidRDefault="00BD4878" w:rsidP="009D090C">
      <w:pPr>
        <w:widowControl w:val="0"/>
        <w:autoSpaceDE w:val="0"/>
        <w:autoSpaceDN w:val="0"/>
        <w:adjustRightInd w:val="0"/>
        <w:spacing w:after="240" w:line="360" w:lineRule="auto"/>
        <w:jc w:val="both"/>
        <w:rPr>
          <w:rFonts w:ascii="Arial" w:hAnsi="Arial" w:cs="Arial"/>
          <w:lang w:val="es-CO"/>
        </w:rPr>
      </w:pPr>
      <w:r w:rsidRPr="0053454D">
        <w:rPr>
          <w:rFonts w:ascii="Arial" w:hAnsi="Arial" w:cs="Arial"/>
        </w:rPr>
        <w:t>Las muestras para el estudio de contactos o de casos en trabajo de campo se deben</w:t>
      </w:r>
      <w:r w:rsidRPr="0053454D">
        <w:rPr>
          <w:rFonts w:ascii="Arial" w:hAnsi="Arial" w:cs="Arial"/>
          <w:lang w:val="es-CO"/>
        </w:rPr>
        <w:t xml:space="preserve"> </w:t>
      </w:r>
      <w:r w:rsidRPr="0053454D">
        <w:rPr>
          <w:rFonts w:ascii="Arial" w:hAnsi="Arial" w:cs="Arial"/>
        </w:rPr>
        <w:t>tomar mediante hisopado nasofaríngeo (cabe destacar que en el campo es muy</w:t>
      </w:r>
      <w:r w:rsidRPr="0053454D">
        <w:rPr>
          <w:rFonts w:ascii="Arial" w:hAnsi="Arial" w:cs="Arial"/>
          <w:lang w:val="es-CO"/>
        </w:rPr>
        <w:t xml:space="preserve"> </w:t>
      </w:r>
      <w:r w:rsidRPr="0053454D">
        <w:rPr>
          <w:rFonts w:ascii="Arial" w:hAnsi="Arial" w:cs="Arial"/>
        </w:rPr>
        <w:t>importante separar áreas de vacunación y áreas de toma de muestra, y en caso de no</w:t>
      </w:r>
      <w:r w:rsidRPr="0053454D">
        <w:rPr>
          <w:rFonts w:ascii="Arial" w:hAnsi="Arial" w:cs="Arial"/>
          <w:lang w:val="es-CO"/>
        </w:rPr>
        <w:t xml:space="preserve"> </w:t>
      </w:r>
      <w:r w:rsidRPr="0053454D">
        <w:rPr>
          <w:rFonts w:ascii="Arial" w:hAnsi="Arial" w:cs="Arial"/>
        </w:rPr>
        <w:t>ser posible, tomar las muestras respectivas antes de vacunar; así se limita el riesgo de</w:t>
      </w:r>
      <w:r w:rsidRPr="0053454D">
        <w:rPr>
          <w:rFonts w:ascii="Arial" w:hAnsi="Arial" w:cs="Arial"/>
          <w:lang w:val="es-CO"/>
        </w:rPr>
        <w:t xml:space="preserve"> </w:t>
      </w:r>
      <w:r w:rsidRPr="0053454D">
        <w:rPr>
          <w:rFonts w:ascii="Arial" w:hAnsi="Arial" w:cs="Arial"/>
        </w:rPr>
        <w:t>contaminación cruzada que tiende a alterar la PCR).</w:t>
      </w:r>
    </w:p>
    <w:p w:rsidR="00B46637" w:rsidRPr="0053454D" w:rsidRDefault="00BD4878" w:rsidP="009D090C">
      <w:pPr>
        <w:widowControl w:val="0"/>
        <w:autoSpaceDE w:val="0"/>
        <w:autoSpaceDN w:val="0"/>
        <w:adjustRightInd w:val="0"/>
        <w:spacing w:after="240" w:line="360" w:lineRule="auto"/>
        <w:jc w:val="both"/>
        <w:rPr>
          <w:rFonts w:ascii="Arial" w:hAnsi="Arial" w:cs="Arial"/>
          <w:lang w:val="es-CO"/>
        </w:rPr>
      </w:pPr>
      <w:r w:rsidRPr="0053454D">
        <w:rPr>
          <w:rFonts w:ascii="Arial" w:hAnsi="Arial" w:cs="Arial"/>
        </w:rPr>
        <w:t>La toma de muestras en pacientes hospitalizados debe hacerse mediante aspirado nasofaríngeo con sonda estéril. En casos de brotes es importante tomar muestras adicionales para diagnósticos</w:t>
      </w:r>
      <w:r w:rsidRPr="0053454D">
        <w:rPr>
          <w:rFonts w:ascii="Arial" w:hAnsi="Arial" w:cs="Arial"/>
          <w:lang w:val="es-CO"/>
        </w:rPr>
        <w:t xml:space="preserve"> </w:t>
      </w:r>
      <w:r w:rsidRPr="0053454D">
        <w:rPr>
          <w:rFonts w:ascii="Arial" w:hAnsi="Arial" w:cs="Arial"/>
        </w:rPr>
        <w:t>diferenciales.</w:t>
      </w:r>
    </w:p>
    <w:p w:rsidR="00FD0AF8" w:rsidRPr="0053454D" w:rsidRDefault="00FD0AF8" w:rsidP="005B41FE">
      <w:pPr>
        <w:suppressAutoHyphens/>
        <w:spacing w:after="0" w:line="360" w:lineRule="auto"/>
        <w:jc w:val="center"/>
        <w:rPr>
          <w:rFonts w:ascii="Arial" w:hAnsi="Arial" w:cs="Arial"/>
          <w:b/>
        </w:rPr>
      </w:pPr>
      <w:r w:rsidRPr="0053454D">
        <w:rPr>
          <w:rFonts w:ascii="Arial" w:hAnsi="Arial" w:cs="Arial"/>
          <w:b/>
        </w:rPr>
        <w:t xml:space="preserve">Descripción analítica del </w:t>
      </w:r>
      <w:r w:rsidR="00B46637" w:rsidRPr="0053454D">
        <w:rPr>
          <w:rFonts w:ascii="Arial" w:hAnsi="Arial" w:cs="Arial"/>
          <w:b/>
        </w:rPr>
        <w:t>COVE.</w:t>
      </w:r>
    </w:p>
    <w:p w:rsidR="00FD0AF8" w:rsidRPr="0053454D" w:rsidRDefault="00FD0AF8" w:rsidP="006819DA">
      <w:pPr>
        <w:pStyle w:val="Prrafodelista"/>
        <w:spacing w:after="0" w:line="360" w:lineRule="auto"/>
        <w:ind w:left="0"/>
        <w:jc w:val="both"/>
        <w:rPr>
          <w:rFonts w:ascii="Arial" w:hAnsi="Arial" w:cs="Arial"/>
        </w:rPr>
      </w:pPr>
      <w:r w:rsidRPr="0053454D">
        <w:rPr>
          <w:rFonts w:ascii="Arial" w:hAnsi="Arial" w:cs="Arial"/>
        </w:rPr>
        <w:t>La metodología planteada para el desarrollo del COVE permitió generar espacio para la construcción de conocimientos, la identificación de situaciones que pueden afectar negativamente el proceso planteado para ello y el análisis reflexivo en torno a conceptos que usualmente se utilizan pero difícilmente se pueden diferenciar y calificar.</w:t>
      </w:r>
    </w:p>
    <w:p w:rsidR="00FD0AF8" w:rsidRPr="0053454D" w:rsidRDefault="00FD0AF8" w:rsidP="006819DA">
      <w:pPr>
        <w:pStyle w:val="Prrafodelista"/>
        <w:spacing w:after="0" w:line="360" w:lineRule="auto"/>
        <w:ind w:left="0"/>
        <w:jc w:val="both"/>
        <w:rPr>
          <w:rFonts w:ascii="Arial" w:hAnsi="Arial" w:cs="Arial"/>
        </w:rPr>
      </w:pPr>
      <w:r w:rsidRPr="0053454D">
        <w:rPr>
          <w:rFonts w:ascii="Arial" w:hAnsi="Arial" w:cs="Arial"/>
        </w:rPr>
        <w:t>Las UPGD que participan en el COVE se muestran interes</w:t>
      </w:r>
      <w:r w:rsidR="001F6D69" w:rsidRPr="0053454D">
        <w:rPr>
          <w:rFonts w:ascii="Arial" w:hAnsi="Arial" w:cs="Arial"/>
        </w:rPr>
        <w:t>adas en las temáticas abordadas</w:t>
      </w:r>
      <w:r w:rsidR="00393B4F" w:rsidRPr="0053454D">
        <w:rPr>
          <w:rFonts w:ascii="Arial" w:hAnsi="Arial" w:cs="Arial"/>
        </w:rPr>
        <w:t xml:space="preserve">, </w:t>
      </w:r>
      <w:r w:rsidRPr="0053454D">
        <w:rPr>
          <w:rFonts w:ascii="Arial" w:hAnsi="Arial" w:cs="Arial"/>
        </w:rPr>
        <w:t>no se identifican dificultades conceptuales</w:t>
      </w:r>
      <w:r w:rsidR="00393B4F" w:rsidRPr="0053454D">
        <w:rPr>
          <w:rFonts w:ascii="Arial" w:hAnsi="Arial" w:cs="Arial"/>
        </w:rPr>
        <w:t xml:space="preserve"> frente a los temas</w:t>
      </w:r>
      <w:r w:rsidRPr="0053454D">
        <w:rPr>
          <w:rFonts w:ascii="Arial" w:hAnsi="Arial" w:cs="Arial"/>
        </w:rPr>
        <w:t>.</w:t>
      </w:r>
    </w:p>
    <w:p w:rsidR="00341E8F" w:rsidRPr="0053454D" w:rsidRDefault="00341E8F" w:rsidP="006819DA">
      <w:pPr>
        <w:autoSpaceDE w:val="0"/>
        <w:spacing w:after="0" w:line="360" w:lineRule="auto"/>
        <w:jc w:val="both"/>
        <w:rPr>
          <w:rFonts w:ascii="Arial" w:hAnsi="Arial" w:cs="Arial"/>
          <w:b/>
          <w:lang w:eastAsia="es-CO"/>
        </w:rPr>
      </w:pPr>
    </w:p>
    <w:p w:rsidR="001A057F" w:rsidRPr="0053454D" w:rsidRDefault="001A057F" w:rsidP="006819DA">
      <w:pPr>
        <w:autoSpaceDE w:val="0"/>
        <w:spacing w:after="0" w:line="360" w:lineRule="auto"/>
        <w:jc w:val="both"/>
        <w:rPr>
          <w:rFonts w:ascii="Arial" w:hAnsi="Arial" w:cs="Arial"/>
          <w:b/>
          <w:lang w:eastAsia="es-CO"/>
        </w:rPr>
      </w:pPr>
      <w:r w:rsidRPr="0053454D">
        <w:rPr>
          <w:rFonts w:ascii="Arial" w:hAnsi="Arial" w:cs="Arial"/>
          <w:b/>
          <w:lang w:eastAsia="es-CO"/>
        </w:rPr>
        <w:t>C) Resultados de la evaluación del COVE.</w:t>
      </w:r>
    </w:p>
    <w:p w:rsidR="001A057F" w:rsidRPr="0053454D" w:rsidRDefault="001A057F" w:rsidP="006819DA">
      <w:pPr>
        <w:autoSpaceDE w:val="0"/>
        <w:spacing w:after="0" w:line="360" w:lineRule="auto"/>
        <w:jc w:val="both"/>
        <w:rPr>
          <w:rFonts w:ascii="Arial" w:hAnsi="Arial" w:cs="Arial"/>
          <w:lang w:eastAsia="es-CO"/>
        </w:rPr>
      </w:pPr>
      <w:r w:rsidRPr="0053454D">
        <w:rPr>
          <w:rFonts w:ascii="Arial" w:hAnsi="Arial" w:cs="Arial"/>
          <w:lang w:eastAsia="es-CO"/>
        </w:rPr>
        <w:t>Una vez efectuada la agenda del COVE, se procede a realizar la evaluación del mismo identificando lo siguiente:</w:t>
      </w:r>
    </w:p>
    <w:p w:rsidR="00E74B96" w:rsidRPr="0053454D" w:rsidRDefault="001A057F" w:rsidP="006819DA">
      <w:pPr>
        <w:autoSpaceDE w:val="0"/>
        <w:spacing w:after="0" w:line="360" w:lineRule="auto"/>
        <w:jc w:val="both"/>
        <w:rPr>
          <w:rFonts w:ascii="Arial" w:hAnsi="Arial" w:cs="Arial"/>
          <w:lang w:eastAsia="es-CO"/>
        </w:rPr>
      </w:pPr>
      <w:r w:rsidRPr="0053454D">
        <w:rPr>
          <w:rFonts w:ascii="Arial" w:hAnsi="Arial" w:cs="Arial"/>
          <w:lang w:eastAsia="es-CO"/>
        </w:rPr>
        <w:t xml:space="preserve">Aspectos generales: En cuanto a la percepción de </w:t>
      </w:r>
      <w:r w:rsidR="00E74B96" w:rsidRPr="0053454D">
        <w:rPr>
          <w:rFonts w:ascii="Arial" w:hAnsi="Arial" w:cs="Arial"/>
          <w:lang w:eastAsia="es-CO"/>
        </w:rPr>
        <w:t>la utilidad e</w:t>
      </w:r>
      <w:r w:rsidR="00297AF8">
        <w:rPr>
          <w:rFonts w:ascii="Arial" w:hAnsi="Arial" w:cs="Arial"/>
          <w:lang w:eastAsia="es-CO"/>
        </w:rPr>
        <w:t>n los contenidos abordados un 52</w:t>
      </w:r>
      <w:r w:rsidR="00E74B96" w:rsidRPr="0053454D">
        <w:rPr>
          <w:rFonts w:ascii="Arial" w:hAnsi="Arial" w:cs="Arial"/>
          <w:lang w:eastAsia="es-CO"/>
        </w:rPr>
        <w:t>% de los participantes califico sobre 5, seguido del cumplimiento de horario.</w:t>
      </w:r>
    </w:p>
    <w:p w:rsidR="00E74B96" w:rsidRDefault="00E74B96"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374FB1" w:rsidRDefault="00374FB1" w:rsidP="006819DA">
      <w:pPr>
        <w:autoSpaceDE w:val="0"/>
        <w:spacing w:after="0" w:line="360" w:lineRule="auto"/>
        <w:jc w:val="both"/>
        <w:rPr>
          <w:rFonts w:ascii="Arial" w:hAnsi="Arial" w:cs="Arial"/>
          <w:lang w:eastAsia="es-CO"/>
        </w:rPr>
      </w:pPr>
    </w:p>
    <w:p w:rsidR="008C2E60" w:rsidRPr="0053454D" w:rsidRDefault="008C2E60" w:rsidP="006819DA">
      <w:pPr>
        <w:autoSpaceDE w:val="0"/>
        <w:spacing w:after="0" w:line="360" w:lineRule="auto"/>
        <w:jc w:val="both"/>
        <w:rPr>
          <w:rFonts w:ascii="Arial" w:hAnsi="Arial" w:cs="Arial"/>
          <w:lang w:eastAsia="es-CO"/>
        </w:rPr>
      </w:pPr>
    </w:p>
    <w:p w:rsidR="001A057F" w:rsidRPr="0053454D" w:rsidRDefault="001A057F" w:rsidP="002E0F74">
      <w:pPr>
        <w:autoSpaceDE w:val="0"/>
        <w:spacing w:after="0" w:line="360" w:lineRule="auto"/>
        <w:jc w:val="both"/>
        <w:rPr>
          <w:rFonts w:ascii="Arial" w:hAnsi="Arial" w:cs="Arial"/>
          <w:lang w:eastAsia="es-CO"/>
        </w:rPr>
      </w:pPr>
      <w:r w:rsidRPr="0053454D">
        <w:rPr>
          <w:rFonts w:ascii="Arial" w:hAnsi="Arial" w:cs="Arial"/>
          <w:lang w:eastAsia="es-CO"/>
        </w:rPr>
        <w:t xml:space="preserve">Grafica 1. Evaluación aspectos generales COVE local </w:t>
      </w:r>
    </w:p>
    <w:p w:rsidR="001A057F" w:rsidRPr="0053454D" w:rsidRDefault="008C2E60" w:rsidP="002E0F74">
      <w:pPr>
        <w:spacing w:after="0" w:line="240" w:lineRule="auto"/>
        <w:jc w:val="both"/>
        <w:rPr>
          <w:rFonts w:ascii="Arial" w:hAnsi="Arial" w:cs="Arial"/>
          <w:lang w:val="es-MX"/>
        </w:rPr>
      </w:pPr>
      <w:r>
        <w:rPr>
          <w:noProof/>
          <w:lang w:val="es-MX" w:eastAsia="es-MX"/>
        </w:rPr>
        <w:drawing>
          <wp:inline distT="0" distB="0" distL="0" distR="0" wp14:anchorId="5CDE8D05" wp14:editId="6320407B">
            <wp:extent cx="4600575" cy="23907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A057F" w:rsidRPr="0053454D" w:rsidRDefault="001A057F" w:rsidP="002E0F74">
      <w:pPr>
        <w:spacing w:after="0" w:line="240" w:lineRule="auto"/>
        <w:jc w:val="both"/>
        <w:rPr>
          <w:rFonts w:ascii="Arial" w:hAnsi="Arial" w:cs="Arial"/>
          <w:lang w:val="es-MX"/>
        </w:rPr>
      </w:pPr>
      <w:r w:rsidRPr="0053454D">
        <w:rPr>
          <w:rFonts w:ascii="Arial" w:hAnsi="Arial" w:cs="Arial"/>
          <w:lang w:val="es-MX"/>
        </w:rPr>
        <w:t xml:space="preserve">Fuente: Evaluación COVE </w:t>
      </w:r>
      <w:r w:rsidR="008C2E60">
        <w:rPr>
          <w:rFonts w:ascii="Arial" w:hAnsi="Arial" w:cs="Arial"/>
          <w:lang w:val="es-MX"/>
        </w:rPr>
        <w:t>Suba</w:t>
      </w:r>
      <w:r w:rsidRPr="0053454D">
        <w:rPr>
          <w:rFonts w:ascii="Arial" w:hAnsi="Arial" w:cs="Arial"/>
          <w:lang w:val="es-MX"/>
        </w:rPr>
        <w:t xml:space="preserve">. </w:t>
      </w:r>
      <w:r w:rsidR="00C64BE2" w:rsidRPr="0053454D">
        <w:rPr>
          <w:rFonts w:ascii="Arial" w:hAnsi="Arial" w:cs="Arial"/>
          <w:lang w:val="es-MX"/>
        </w:rPr>
        <w:t>Febrero</w:t>
      </w:r>
      <w:r w:rsidR="006C6087" w:rsidRPr="0053454D">
        <w:rPr>
          <w:rFonts w:ascii="Arial" w:hAnsi="Arial" w:cs="Arial"/>
          <w:lang w:val="es-MX"/>
        </w:rPr>
        <w:t xml:space="preserve"> 2018</w:t>
      </w: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r w:rsidRPr="0053454D">
        <w:rPr>
          <w:rFonts w:ascii="Arial" w:hAnsi="Arial" w:cs="Arial"/>
          <w:lang w:val="es-MX"/>
        </w:rPr>
        <w:t xml:space="preserve">En cuanto a presentación de </w:t>
      </w:r>
      <w:r w:rsidR="00A33F9C" w:rsidRPr="0053454D">
        <w:rPr>
          <w:rFonts w:ascii="Arial" w:hAnsi="Arial" w:cs="Arial"/>
          <w:lang w:val="es-CO"/>
        </w:rPr>
        <w:t>Introducción SIVISTRA</w:t>
      </w:r>
      <w:r w:rsidRPr="0053454D">
        <w:rPr>
          <w:rFonts w:ascii="Arial" w:hAnsi="Arial" w:cs="Arial"/>
          <w:lang w:val="es-MX"/>
        </w:rPr>
        <w:t xml:space="preserve">, el </w:t>
      </w:r>
      <w:r w:rsidR="00A33F9C" w:rsidRPr="0053454D">
        <w:rPr>
          <w:rFonts w:ascii="Arial" w:hAnsi="Arial" w:cs="Arial"/>
          <w:lang w:val="es-MX"/>
        </w:rPr>
        <w:t>52</w:t>
      </w:r>
      <w:r w:rsidR="009F1710" w:rsidRPr="0053454D">
        <w:rPr>
          <w:rFonts w:ascii="Arial" w:hAnsi="Arial" w:cs="Arial"/>
          <w:lang w:val="es-MX"/>
        </w:rPr>
        <w:t xml:space="preserve"> </w:t>
      </w:r>
      <w:r w:rsidRPr="0053454D">
        <w:rPr>
          <w:rFonts w:ascii="Arial" w:hAnsi="Arial" w:cs="Arial"/>
          <w:lang w:val="es-MX"/>
        </w:rPr>
        <w:t xml:space="preserve">% de los participantes califico como </w:t>
      </w:r>
      <w:r w:rsidR="00415D2D">
        <w:rPr>
          <w:rFonts w:ascii="Arial" w:hAnsi="Arial" w:cs="Arial"/>
          <w:lang w:val="es-MX"/>
        </w:rPr>
        <w:t xml:space="preserve">muy bueno el grado de motivación del </w:t>
      </w:r>
      <w:proofErr w:type="spellStart"/>
      <w:r w:rsidR="00415D2D">
        <w:rPr>
          <w:rFonts w:ascii="Arial" w:hAnsi="Arial" w:cs="Arial"/>
          <w:lang w:val="es-MX"/>
        </w:rPr>
        <w:t>ralator</w:t>
      </w:r>
      <w:proofErr w:type="spellEnd"/>
    </w:p>
    <w:p w:rsidR="00E74B96" w:rsidRPr="0053454D" w:rsidRDefault="001A057F" w:rsidP="00E74B96">
      <w:pPr>
        <w:jc w:val="both"/>
        <w:rPr>
          <w:rFonts w:ascii="Arial" w:hAnsi="Arial" w:cs="Arial"/>
          <w:lang w:val="es-MX"/>
        </w:rPr>
      </w:pPr>
      <w:r w:rsidRPr="0053454D">
        <w:rPr>
          <w:rFonts w:ascii="Arial" w:hAnsi="Arial" w:cs="Arial"/>
          <w:lang w:val="es-MX"/>
        </w:rPr>
        <w:t xml:space="preserve">Grafica 2. Evaluación </w:t>
      </w:r>
      <w:r w:rsidR="00E74B96" w:rsidRPr="0053454D">
        <w:rPr>
          <w:rFonts w:ascii="Arial" w:hAnsi="Arial" w:cs="Arial"/>
          <w:lang w:val="es-CO"/>
        </w:rPr>
        <w:t xml:space="preserve">Introducción SIVISTRA </w:t>
      </w:r>
    </w:p>
    <w:p w:rsidR="001A057F" w:rsidRPr="0053454D" w:rsidRDefault="00E74B96" w:rsidP="00E74B96">
      <w:pPr>
        <w:spacing w:after="0" w:line="240" w:lineRule="auto"/>
        <w:jc w:val="both"/>
        <w:rPr>
          <w:rFonts w:ascii="Arial" w:hAnsi="Arial" w:cs="Arial"/>
          <w:lang w:val="es-MX"/>
        </w:rPr>
      </w:pPr>
      <w:r w:rsidRPr="0053454D">
        <w:rPr>
          <w:rFonts w:ascii="Arial" w:hAnsi="Arial" w:cs="Arial"/>
          <w:lang w:val="es-MX"/>
        </w:rPr>
        <w:t xml:space="preserve"> </w:t>
      </w:r>
      <w:r w:rsidR="00415D2D">
        <w:rPr>
          <w:noProof/>
          <w:lang w:val="es-MX" w:eastAsia="es-MX"/>
        </w:rPr>
        <w:drawing>
          <wp:inline distT="0" distB="0" distL="0" distR="0" wp14:anchorId="1721DDB4" wp14:editId="688BBB12">
            <wp:extent cx="5400040" cy="2899164"/>
            <wp:effectExtent l="0" t="0" r="10160" b="1587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57F" w:rsidRPr="0053454D" w:rsidRDefault="001A057F" w:rsidP="002E0F74">
      <w:pPr>
        <w:spacing w:after="0" w:line="240" w:lineRule="auto"/>
        <w:jc w:val="both"/>
        <w:rPr>
          <w:rFonts w:ascii="Arial" w:hAnsi="Arial" w:cs="Arial"/>
          <w:lang w:val="es-MX"/>
        </w:rPr>
      </w:pPr>
    </w:p>
    <w:p w:rsidR="00A33F9C" w:rsidRPr="0053454D" w:rsidRDefault="00A33F9C" w:rsidP="00A33F9C">
      <w:pPr>
        <w:spacing w:after="0" w:line="240" w:lineRule="auto"/>
        <w:jc w:val="both"/>
        <w:rPr>
          <w:rFonts w:ascii="Arial" w:hAnsi="Arial" w:cs="Arial"/>
          <w:lang w:val="es-MX"/>
        </w:rPr>
      </w:pPr>
      <w:r w:rsidRPr="0053454D">
        <w:rPr>
          <w:rFonts w:ascii="Arial" w:hAnsi="Arial" w:cs="Arial"/>
          <w:lang w:val="es-MX"/>
        </w:rPr>
        <w:t xml:space="preserve">Fuente: Evaluación COVE </w:t>
      </w:r>
      <w:r w:rsidR="00415D2D">
        <w:rPr>
          <w:rFonts w:ascii="Arial" w:hAnsi="Arial" w:cs="Arial"/>
          <w:lang w:val="es-MX"/>
        </w:rPr>
        <w:t>Suba</w:t>
      </w:r>
      <w:r w:rsidRPr="0053454D">
        <w:rPr>
          <w:rFonts w:ascii="Arial" w:hAnsi="Arial" w:cs="Arial"/>
          <w:lang w:val="es-MX"/>
        </w:rPr>
        <w:t>. Febrero 2018</w:t>
      </w:r>
    </w:p>
    <w:p w:rsidR="00A33F9C" w:rsidRPr="0053454D" w:rsidRDefault="00A33F9C" w:rsidP="00A33F9C">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p>
    <w:p w:rsidR="007E107B" w:rsidRPr="0053454D" w:rsidRDefault="001A057F" w:rsidP="002E0F74">
      <w:pPr>
        <w:spacing w:after="0" w:line="240" w:lineRule="auto"/>
        <w:jc w:val="both"/>
        <w:rPr>
          <w:rFonts w:ascii="Arial" w:hAnsi="Arial" w:cs="Arial"/>
          <w:lang w:val="es-MX"/>
        </w:rPr>
      </w:pPr>
      <w:r w:rsidRPr="0053454D">
        <w:rPr>
          <w:rFonts w:ascii="Arial" w:hAnsi="Arial" w:cs="Arial"/>
          <w:lang w:val="es-MX"/>
        </w:rPr>
        <w:t xml:space="preserve">De acuerdo a la temática de </w:t>
      </w:r>
      <w:r w:rsidR="00A33F9C" w:rsidRPr="0053454D">
        <w:rPr>
          <w:rFonts w:ascii="Arial" w:hAnsi="Arial" w:cs="Arial"/>
          <w:bCs/>
          <w:lang w:val="es-CO"/>
        </w:rPr>
        <w:t>Introducción y socialización de indicadores SISVESO</w:t>
      </w:r>
      <w:r w:rsidRPr="0053454D">
        <w:rPr>
          <w:rFonts w:ascii="Arial" w:hAnsi="Arial" w:cs="Arial"/>
          <w:lang w:val="es-MX"/>
        </w:rPr>
        <w:t xml:space="preserve">, el </w:t>
      </w:r>
      <w:r w:rsidR="00F12FA3">
        <w:rPr>
          <w:rFonts w:ascii="Arial" w:hAnsi="Arial" w:cs="Arial"/>
          <w:lang w:val="es-MX"/>
        </w:rPr>
        <w:t>55</w:t>
      </w:r>
      <w:r w:rsidRPr="0053454D">
        <w:rPr>
          <w:rFonts w:ascii="Arial" w:hAnsi="Arial" w:cs="Arial"/>
          <w:lang w:val="es-MX"/>
        </w:rPr>
        <w:t xml:space="preserve">% de los participantes evaluaron </w:t>
      </w:r>
      <w:r w:rsidR="00342F84" w:rsidRPr="0053454D">
        <w:rPr>
          <w:rFonts w:ascii="Arial" w:hAnsi="Arial" w:cs="Arial"/>
          <w:lang w:val="es-MX"/>
        </w:rPr>
        <w:t xml:space="preserve">como </w:t>
      </w:r>
      <w:r w:rsidRPr="0053454D">
        <w:rPr>
          <w:rFonts w:ascii="Arial" w:hAnsi="Arial" w:cs="Arial"/>
          <w:lang w:val="es-MX"/>
        </w:rPr>
        <w:t>buena</w:t>
      </w:r>
      <w:r w:rsidR="00F12FA3">
        <w:rPr>
          <w:rFonts w:ascii="Arial" w:hAnsi="Arial" w:cs="Arial"/>
          <w:lang w:val="es-MX"/>
        </w:rPr>
        <w:t xml:space="preserve"> </w:t>
      </w:r>
      <w:r w:rsidR="00A33F9C" w:rsidRPr="0053454D">
        <w:rPr>
          <w:rFonts w:ascii="Arial" w:hAnsi="Arial" w:cs="Arial"/>
          <w:lang w:val="es-MX"/>
        </w:rPr>
        <w:t xml:space="preserve"> la metodología utilizada y claridad en los ejemplos dados.</w:t>
      </w:r>
    </w:p>
    <w:p w:rsidR="00A33F9C" w:rsidRPr="0053454D" w:rsidRDefault="00A33F9C" w:rsidP="002E0F74">
      <w:pPr>
        <w:spacing w:after="0" w:line="240" w:lineRule="auto"/>
        <w:jc w:val="both"/>
        <w:rPr>
          <w:rFonts w:ascii="Arial" w:hAnsi="Arial" w:cs="Arial"/>
          <w:lang w:val="es-MX"/>
        </w:rPr>
      </w:pPr>
    </w:p>
    <w:p w:rsidR="00A33F9C" w:rsidRPr="0053454D" w:rsidRDefault="00A33F9C" w:rsidP="002E0F74">
      <w:pPr>
        <w:spacing w:after="0" w:line="240" w:lineRule="auto"/>
        <w:jc w:val="both"/>
        <w:rPr>
          <w:rFonts w:ascii="Arial" w:hAnsi="Arial" w:cs="Arial"/>
          <w:lang w:val="es-MX"/>
        </w:rPr>
      </w:pPr>
    </w:p>
    <w:p w:rsidR="00A33F9C" w:rsidRPr="0053454D" w:rsidRDefault="00A33F9C" w:rsidP="002E0F74">
      <w:pPr>
        <w:spacing w:after="0" w:line="240" w:lineRule="auto"/>
        <w:jc w:val="both"/>
        <w:rPr>
          <w:rFonts w:ascii="Arial" w:hAnsi="Arial" w:cs="Arial"/>
          <w:lang w:val="es-MX"/>
        </w:rPr>
      </w:pPr>
    </w:p>
    <w:p w:rsidR="00A33F9C" w:rsidRPr="0053454D" w:rsidRDefault="00A33F9C" w:rsidP="002E0F74">
      <w:pPr>
        <w:spacing w:after="0" w:line="240" w:lineRule="auto"/>
        <w:jc w:val="both"/>
        <w:rPr>
          <w:rFonts w:ascii="Arial" w:hAnsi="Arial" w:cs="Arial"/>
          <w:lang w:val="es-MX"/>
        </w:rPr>
      </w:pPr>
    </w:p>
    <w:p w:rsidR="00A33F9C" w:rsidRPr="0053454D" w:rsidRDefault="00A33F9C" w:rsidP="002E0F74">
      <w:pPr>
        <w:spacing w:after="0" w:line="240" w:lineRule="auto"/>
        <w:jc w:val="both"/>
        <w:rPr>
          <w:rFonts w:ascii="Arial" w:hAnsi="Arial" w:cs="Arial"/>
          <w:lang w:val="es-MX"/>
        </w:rPr>
      </w:pPr>
    </w:p>
    <w:p w:rsidR="000E5978" w:rsidRPr="0053454D" w:rsidRDefault="007E107B" w:rsidP="002E0F74">
      <w:pPr>
        <w:spacing w:after="0" w:line="240" w:lineRule="auto"/>
        <w:jc w:val="both"/>
        <w:rPr>
          <w:rFonts w:ascii="Arial" w:hAnsi="Arial" w:cs="Arial"/>
          <w:noProof/>
          <w:lang w:val="es-CO" w:eastAsia="es-MX"/>
        </w:rPr>
      </w:pPr>
      <w:r w:rsidRPr="0053454D">
        <w:rPr>
          <w:rFonts w:ascii="Arial" w:hAnsi="Arial" w:cs="Arial"/>
          <w:lang w:val="es-MX"/>
        </w:rPr>
        <w:lastRenderedPageBreak/>
        <w:t xml:space="preserve">Grafico 3, </w:t>
      </w:r>
      <w:r w:rsidR="00A33F9C" w:rsidRPr="0053454D">
        <w:rPr>
          <w:rFonts w:ascii="Arial" w:hAnsi="Arial" w:cs="Arial"/>
          <w:bCs/>
          <w:lang w:val="es-CO"/>
        </w:rPr>
        <w:t xml:space="preserve">Introducción y socialización de indicadores SISVESO </w:t>
      </w:r>
    </w:p>
    <w:p w:rsidR="00A33F9C" w:rsidRPr="0053454D" w:rsidRDefault="00415D2D" w:rsidP="002E0F74">
      <w:pPr>
        <w:spacing w:after="0" w:line="240" w:lineRule="auto"/>
        <w:jc w:val="both"/>
        <w:rPr>
          <w:rFonts w:ascii="Arial" w:hAnsi="Arial" w:cs="Arial"/>
          <w:lang w:val="es-CO"/>
        </w:rPr>
      </w:pPr>
      <w:r>
        <w:rPr>
          <w:noProof/>
          <w:lang w:val="es-MX" w:eastAsia="es-MX"/>
        </w:rPr>
        <w:drawing>
          <wp:inline distT="0" distB="0" distL="0" distR="0" wp14:anchorId="7E804093" wp14:editId="6BE55689">
            <wp:extent cx="5400040" cy="2899164"/>
            <wp:effectExtent l="0" t="0" r="10160" b="1587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A057F" w:rsidRPr="0053454D" w:rsidRDefault="001A057F" w:rsidP="002E0F74">
      <w:pPr>
        <w:spacing w:after="0" w:line="240" w:lineRule="auto"/>
        <w:jc w:val="both"/>
        <w:rPr>
          <w:rFonts w:ascii="Arial" w:hAnsi="Arial" w:cs="Arial"/>
          <w:lang w:val="es-MX"/>
        </w:rPr>
      </w:pPr>
    </w:p>
    <w:p w:rsidR="00A33F9C" w:rsidRPr="0053454D" w:rsidRDefault="00A33F9C" w:rsidP="00A33F9C">
      <w:pPr>
        <w:spacing w:after="0" w:line="240" w:lineRule="auto"/>
        <w:jc w:val="both"/>
        <w:rPr>
          <w:rFonts w:ascii="Arial" w:hAnsi="Arial" w:cs="Arial"/>
          <w:lang w:val="es-MX"/>
        </w:rPr>
      </w:pPr>
    </w:p>
    <w:p w:rsidR="00A33F9C" w:rsidRPr="0053454D" w:rsidRDefault="00A33F9C" w:rsidP="00A33F9C">
      <w:pPr>
        <w:spacing w:after="0" w:line="240" w:lineRule="auto"/>
        <w:jc w:val="both"/>
        <w:rPr>
          <w:rFonts w:ascii="Arial" w:hAnsi="Arial" w:cs="Arial"/>
          <w:lang w:val="es-MX"/>
        </w:rPr>
      </w:pPr>
      <w:r w:rsidRPr="0053454D">
        <w:rPr>
          <w:rFonts w:ascii="Arial" w:hAnsi="Arial" w:cs="Arial"/>
          <w:lang w:val="es-MX"/>
        </w:rPr>
        <w:t xml:space="preserve">Fuente: Evaluación COVE </w:t>
      </w:r>
      <w:r w:rsidR="00F12FA3">
        <w:rPr>
          <w:rFonts w:ascii="Arial" w:hAnsi="Arial" w:cs="Arial"/>
          <w:lang w:val="es-MX"/>
        </w:rPr>
        <w:t>Suba</w:t>
      </w:r>
      <w:r w:rsidRPr="0053454D">
        <w:rPr>
          <w:rFonts w:ascii="Arial" w:hAnsi="Arial" w:cs="Arial"/>
          <w:lang w:val="es-MX"/>
        </w:rPr>
        <w:t>. Febrero 2018</w:t>
      </w: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r w:rsidRPr="0053454D">
        <w:rPr>
          <w:rFonts w:ascii="Arial" w:hAnsi="Arial" w:cs="Arial"/>
          <w:lang w:val="es-MX"/>
        </w:rPr>
        <w:t xml:space="preserve">En cuanto a la presentación de </w:t>
      </w:r>
      <w:r w:rsidR="007E107B" w:rsidRPr="0053454D">
        <w:rPr>
          <w:rFonts w:ascii="Arial" w:hAnsi="Arial" w:cs="Arial"/>
          <w:lang w:val="es-MX"/>
        </w:rPr>
        <w:t xml:space="preserve"> </w:t>
      </w:r>
      <w:r w:rsidR="00271E5F" w:rsidRPr="0053454D">
        <w:rPr>
          <w:rFonts w:ascii="Arial" w:hAnsi="Arial" w:cs="Arial"/>
          <w:lang w:val="es-CO"/>
        </w:rPr>
        <w:t>Unidad de análisis SIVISTRA – SISVESO</w:t>
      </w:r>
      <w:r w:rsidR="00271E5F" w:rsidRPr="0053454D">
        <w:rPr>
          <w:rFonts w:ascii="Arial" w:hAnsi="Arial" w:cs="Arial"/>
          <w:lang w:val="es-MX"/>
        </w:rPr>
        <w:t xml:space="preserve"> </w:t>
      </w:r>
      <w:r w:rsidRPr="0053454D">
        <w:rPr>
          <w:rFonts w:ascii="Arial" w:hAnsi="Arial" w:cs="Arial"/>
          <w:lang w:val="es-MX"/>
        </w:rPr>
        <w:t xml:space="preserve">el </w:t>
      </w:r>
      <w:r w:rsidR="00F12FA3">
        <w:rPr>
          <w:rFonts w:ascii="Arial" w:hAnsi="Arial" w:cs="Arial"/>
          <w:lang w:val="es-MX"/>
        </w:rPr>
        <w:t>53</w:t>
      </w:r>
      <w:r w:rsidR="00426D56" w:rsidRPr="0053454D">
        <w:rPr>
          <w:rFonts w:ascii="Arial" w:hAnsi="Arial" w:cs="Arial"/>
          <w:lang w:val="es-MX"/>
        </w:rPr>
        <w:t xml:space="preserve"> </w:t>
      </w:r>
      <w:r w:rsidRPr="0053454D">
        <w:rPr>
          <w:rFonts w:ascii="Arial" w:hAnsi="Arial" w:cs="Arial"/>
          <w:lang w:val="es-MX"/>
        </w:rPr>
        <w:t xml:space="preserve">% evalúo como </w:t>
      </w:r>
      <w:r w:rsidR="005F22F9" w:rsidRPr="0053454D">
        <w:rPr>
          <w:rFonts w:ascii="Arial" w:hAnsi="Arial" w:cs="Arial"/>
          <w:lang w:val="es-MX"/>
        </w:rPr>
        <w:t xml:space="preserve"> </w:t>
      </w:r>
      <w:r w:rsidRPr="0053454D">
        <w:rPr>
          <w:rFonts w:ascii="Arial" w:hAnsi="Arial" w:cs="Arial"/>
          <w:lang w:val="es-MX"/>
        </w:rPr>
        <w:t>buena la claridad y desarrollo de la tem</w:t>
      </w:r>
      <w:r w:rsidR="007E107B" w:rsidRPr="0053454D">
        <w:rPr>
          <w:rFonts w:ascii="Arial" w:hAnsi="Arial" w:cs="Arial"/>
          <w:lang w:val="es-MX"/>
        </w:rPr>
        <w:t>ática por parte de la expositor</w:t>
      </w:r>
      <w:r w:rsidR="00F12FA3">
        <w:rPr>
          <w:rFonts w:ascii="Arial" w:hAnsi="Arial" w:cs="Arial"/>
          <w:lang w:val="es-MX"/>
        </w:rPr>
        <w:t xml:space="preserve"> acompañada de la metodología utilizada.</w:t>
      </w:r>
    </w:p>
    <w:p w:rsidR="001A057F" w:rsidRPr="0053454D" w:rsidRDefault="001A057F" w:rsidP="002E0F74">
      <w:pPr>
        <w:spacing w:after="0" w:line="240" w:lineRule="auto"/>
        <w:jc w:val="both"/>
        <w:rPr>
          <w:rFonts w:ascii="Arial" w:hAnsi="Arial" w:cs="Arial"/>
          <w:lang w:val="es-MX"/>
        </w:rPr>
      </w:pPr>
    </w:p>
    <w:p w:rsidR="00A33F9C" w:rsidRPr="0053454D" w:rsidRDefault="00A33F9C" w:rsidP="00A33F9C">
      <w:pPr>
        <w:suppressAutoHyphens/>
        <w:spacing w:after="200" w:line="360" w:lineRule="auto"/>
        <w:ind w:left="720"/>
        <w:jc w:val="both"/>
        <w:rPr>
          <w:rFonts w:ascii="Arial" w:hAnsi="Arial" w:cs="Arial"/>
          <w:bCs/>
          <w:lang w:val="es-CO"/>
        </w:rPr>
      </w:pPr>
      <w:r w:rsidRPr="0053454D">
        <w:rPr>
          <w:rFonts w:ascii="Arial" w:hAnsi="Arial" w:cs="Arial"/>
          <w:noProof/>
          <w:lang w:eastAsia="es-ES"/>
        </w:rPr>
        <w:t>Grafico 4</w:t>
      </w:r>
      <w:r w:rsidR="007E107B" w:rsidRPr="0053454D">
        <w:rPr>
          <w:rFonts w:ascii="Arial" w:hAnsi="Arial" w:cs="Arial"/>
          <w:noProof/>
          <w:lang w:eastAsia="es-ES"/>
        </w:rPr>
        <w:t xml:space="preserve">. </w:t>
      </w:r>
      <w:r w:rsidRPr="0053454D">
        <w:rPr>
          <w:rFonts w:ascii="Arial" w:hAnsi="Arial" w:cs="Arial"/>
          <w:lang w:val="es-CO"/>
        </w:rPr>
        <w:t>Unidad de análisis SIVISTRA – SISVESO</w:t>
      </w:r>
    </w:p>
    <w:p w:rsidR="001A057F" w:rsidRPr="0053454D" w:rsidRDefault="001A057F" w:rsidP="002E0F74">
      <w:pPr>
        <w:spacing w:after="0" w:line="240" w:lineRule="auto"/>
        <w:jc w:val="both"/>
        <w:rPr>
          <w:rFonts w:ascii="Arial" w:hAnsi="Arial" w:cs="Arial"/>
          <w:lang w:val="es-CO"/>
        </w:rPr>
      </w:pPr>
    </w:p>
    <w:p w:rsidR="001A057F" w:rsidRPr="0053454D" w:rsidRDefault="00F12FA3" w:rsidP="002E0F74">
      <w:pPr>
        <w:spacing w:after="0" w:line="240" w:lineRule="auto"/>
        <w:jc w:val="both"/>
        <w:rPr>
          <w:rFonts w:ascii="Arial" w:hAnsi="Arial" w:cs="Arial"/>
          <w:lang w:val="es-MX"/>
        </w:rPr>
      </w:pPr>
      <w:r>
        <w:rPr>
          <w:noProof/>
          <w:lang w:val="es-MX" w:eastAsia="es-MX"/>
        </w:rPr>
        <w:drawing>
          <wp:inline distT="0" distB="0" distL="0" distR="0" wp14:anchorId="1BA57573" wp14:editId="11A57227">
            <wp:extent cx="5400040" cy="2884953"/>
            <wp:effectExtent l="0" t="0" r="10160" b="1079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33F9C" w:rsidRPr="0053454D" w:rsidRDefault="00A33F9C" w:rsidP="00A33F9C">
      <w:pPr>
        <w:spacing w:after="0" w:line="240" w:lineRule="auto"/>
        <w:jc w:val="both"/>
        <w:rPr>
          <w:rFonts w:ascii="Arial" w:hAnsi="Arial" w:cs="Arial"/>
          <w:lang w:val="es-MX"/>
        </w:rPr>
      </w:pPr>
    </w:p>
    <w:p w:rsidR="00BE66FE" w:rsidRPr="0053454D" w:rsidRDefault="00A33F9C" w:rsidP="00BE66FE">
      <w:pPr>
        <w:spacing w:after="0" w:line="240" w:lineRule="auto"/>
        <w:jc w:val="both"/>
        <w:rPr>
          <w:rFonts w:ascii="Arial" w:hAnsi="Arial" w:cs="Arial"/>
          <w:lang w:val="es-MX"/>
        </w:rPr>
      </w:pPr>
      <w:r w:rsidRPr="0053454D">
        <w:rPr>
          <w:rFonts w:ascii="Arial" w:hAnsi="Arial" w:cs="Arial"/>
          <w:lang w:val="es-MX"/>
        </w:rPr>
        <w:t xml:space="preserve">Fuente: Evaluación COVE </w:t>
      </w:r>
      <w:r w:rsidR="00F12FA3">
        <w:rPr>
          <w:rFonts w:ascii="Arial" w:hAnsi="Arial" w:cs="Arial"/>
          <w:lang w:val="es-MX"/>
        </w:rPr>
        <w:t>Suba</w:t>
      </w:r>
      <w:r w:rsidRPr="0053454D">
        <w:rPr>
          <w:rFonts w:ascii="Arial" w:hAnsi="Arial" w:cs="Arial"/>
          <w:lang w:val="es-MX"/>
        </w:rPr>
        <w:t>. Febrero 2018</w:t>
      </w:r>
    </w:p>
    <w:p w:rsidR="00BE66FE" w:rsidRPr="0053454D" w:rsidRDefault="00BE66FE" w:rsidP="00BE66FE">
      <w:pPr>
        <w:spacing w:after="0" w:line="240" w:lineRule="auto"/>
        <w:jc w:val="both"/>
        <w:rPr>
          <w:rFonts w:ascii="Arial" w:hAnsi="Arial" w:cs="Arial"/>
          <w:lang w:val="es-MX"/>
        </w:rPr>
      </w:pPr>
    </w:p>
    <w:p w:rsidR="00BE66FE" w:rsidRPr="0053454D" w:rsidRDefault="00BE66FE" w:rsidP="00BE66FE">
      <w:pPr>
        <w:spacing w:after="0" w:line="240" w:lineRule="auto"/>
        <w:jc w:val="both"/>
        <w:rPr>
          <w:rFonts w:ascii="Arial" w:hAnsi="Arial" w:cs="Arial"/>
          <w:lang w:val="es-MX"/>
        </w:rPr>
      </w:pPr>
    </w:p>
    <w:p w:rsidR="00BE66FE" w:rsidRPr="0053454D" w:rsidRDefault="00BE66FE" w:rsidP="00BE66FE">
      <w:pPr>
        <w:spacing w:after="0" w:line="240" w:lineRule="auto"/>
        <w:jc w:val="both"/>
        <w:rPr>
          <w:rFonts w:ascii="Arial" w:hAnsi="Arial" w:cs="Arial"/>
          <w:lang w:val="es-MX"/>
        </w:rPr>
      </w:pPr>
    </w:p>
    <w:p w:rsidR="00BE66FE" w:rsidRPr="0053454D" w:rsidRDefault="00BE66FE" w:rsidP="00BE66FE">
      <w:pPr>
        <w:jc w:val="both"/>
        <w:rPr>
          <w:rFonts w:ascii="Arial" w:hAnsi="Arial" w:cs="Arial"/>
          <w:lang w:val="es-MX"/>
        </w:rPr>
      </w:pPr>
      <w:r w:rsidRPr="0053454D">
        <w:rPr>
          <w:rFonts w:ascii="Arial" w:hAnsi="Arial" w:cs="Arial"/>
          <w:lang w:val="es-MX"/>
        </w:rPr>
        <w:lastRenderedPageBreak/>
        <w:t xml:space="preserve">En cuanto a la presentación de  SOCIALIZACION ALERTAS EPIDEMIOLOGICAS el 61 % evalúo como buena la metodología utilizada </w:t>
      </w:r>
      <w:r w:rsidR="00F12FA3" w:rsidRPr="0053454D">
        <w:rPr>
          <w:rFonts w:ascii="Arial" w:hAnsi="Arial" w:cs="Arial"/>
          <w:lang w:val="es-MX"/>
        </w:rPr>
        <w:t>seguida</w:t>
      </w:r>
      <w:r w:rsidRPr="0053454D">
        <w:rPr>
          <w:rFonts w:ascii="Arial" w:hAnsi="Arial" w:cs="Arial"/>
          <w:lang w:val="es-MX"/>
        </w:rPr>
        <w:t xml:space="preserve"> de la claridad y calidad de los ejemplos entregados</w:t>
      </w:r>
    </w:p>
    <w:p w:rsidR="00271E5F" w:rsidRPr="0053454D" w:rsidRDefault="00F12FA3" w:rsidP="00A33F9C">
      <w:pPr>
        <w:spacing w:after="0" w:line="240" w:lineRule="auto"/>
        <w:jc w:val="both"/>
        <w:rPr>
          <w:rFonts w:ascii="Arial" w:hAnsi="Arial" w:cs="Arial"/>
          <w:lang w:val="es-MX"/>
        </w:rPr>
      </w:pPr>
      <w:r>
        <w:rPr>
          <w:noProof/>
          <w:lang w:val="es-MX" w:eastAsia="es-MX"/>
        </w:rPr>
        <w:drawing>
          <wp:inline distT="0" distB="0" distL="0" distR="0" wp14:anchorId="1865031B" wp14:editId="1668DC51">
            <wp:extent cx="5400040" cy="27489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6C9E" w:rsidRPr="0053454D" w:rsidRDefault="00F26C9E" w:rsidP="00F26C9E">
      <w:pPr>
        <w:spacing w:after="0" w:line="240" w:lineRule="auto"/>
        <w:jc w:val="both"/>
        <w:rPr>
          <w:rFonts w:ascii="Arial" w:hAnsi="Arial" w:cs="Arial"/>
          <w:lang w:val="es-MX"/>
        </w:rPr>
      </w:pPr>
      <w:r w:rsidRPr="0053454D">
        <w:rPr>
          <w:rFonts w:ascii="Arial" w:hAnsi="Arial" w:cs="Arial"/>
          <w:lang w:val="es-MX"/>
        </w:rPr>
        <w:t xml:space="preserve">Fuente: Evaluación COVE </w:t>
      </w:r>
      <w:r>
        <w:rPr>
          <w:rFonts w:ascii="Arial" w:hAnsi="Arial" w:cs="Arial"/>
          <w:lang w:val="es-MX"/>
        </w:rPr>
        <w:t>Suba</w:t>
      </w:r>
      <w:r w:rsidRPr="0053454D">
        <w:rPr>
          <w:rFonts w:ascii="Arial" w:hAnsi="Arial" w:cs="Arial"/>
          <w:lang w:val="es-MX"/>
        </w:rPr>
        <w:t>. Febrero 2018</w:t>
      </w: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r w:rsidRPr="0053454D">
        <w:rPr>
          <w:rFonts w:ascii="Arial" w:hAnsi="Arial" w:cs="Arial"/>
          <w:lang w:val="es-MX"/>
        </w:rPr>
        <w:t>Respecto a la presentación de tableros de control y hallazgos SIVIGILA el</w:t>
      </w:r>
      <w:r w:rsidR="00F26C9E">
        <w:rPr>
          <w:rFonts w:ascii="Arial" w:hAnsi="Arial" w:cs="Arial"/>
          <w:lang w:val="es-MX"/>
        </w:rPr>
        <w:t xml:space="preserve"> 47</w:t>
      </w:r>
      <w:r w:rsidRPr="0053454D">
        <w:rPr>
          <w:rFonts w:ascii="Arial" w:hAnsi="Arial" w:cs="Arial"/>
          <w:lang w:val="es-MX"/>
        </w:rPr>
        <w:t>% d</w:t>
      </w:r>
      <w:r w:rsidR="00F26C9E">
        <w:rPr>
          <w:rFonts w:ascii="Arial" w:hAnsi="Arial" w:cs="Arial"/>
          <w:lang w:val="es-MX"/>
        </w:rPr>
        <w:t>e los participantes evalúo como</w:t>
      </w:r>
      <w:r w:rsidR="002B68AD" w:rsidRPr="0053454D">
        <w:rPr>
          <w:rFonts w:ascii="Arial" w:hAnsi="Arial" w:cs="Arial"/>
          <w:lang w:val="es-MX"/>
        </w:rPr>
        <w:t xml:space="preserve"> </w:t>
      </w:r>
      <w:r w:rsidRPr="0053454D">
        <w:rPr>
          <w:rFonts w:ascii="Arial" w:hAnsi="Arial" w:cs="Arial"/>
          <w:lang w:val="es-MX"/>
        </w:rPr>
        <w:t>buena</w:t>
      </w:r>
      <w:r w:rsidR="00F26C9E">
        <w:rPr>
          <w:rFonts w:ascii="Arial" w:hAnsi="Arial" w:cs="Arial"/>
          <w:lang w:val="es-MX"/>
        </w:rPr>
        <w:t xml:space="preserve"> la calidad y claridad en la exposición de</w:t>
      </w:r>
      <w:r w:rsidRPr="0053454D">
        <w:rPr>
          <w:rFonts w:ascii="Arial" w:hAnsi="Arial" w:cs="Arial"/>
          <w:lang w:val="es-MX"/>
        </w:rPr>
        <w:t xml:space="preserve"> la socialización de tableros de control.  Los participantes </w:t>
      </w:r>
      <w:r w:rsidR="002B68AD" w:rsidRPr="0053454D">
        <w:rPr>
          <w:rFonts w:ascii="Arial" w:hAnsi="Arial" w:cs="Arial"/>
          <w:lang w:val="es-MX"/>
        </w:rPr>
        <w:t xml:space="preserve">refirieron resolver dudas e inquietudes frente a actualizador </w:t>
      </w:r>
      <w:proofErr w:type="spellStart"/>
      <w:r w:rsidR="002B68AD" w:rsidRPr="0053454D">
        <w:rPr>
          <w:rFonts w:ascii="Arial" w:hAnsi="Arial" w:cs="Arial"/>
          <w:lang w:val="es-MX"/>
        </w:rPr>
        <w:t>sivigila</w:t>
      </w:r>
      <w:proofErr w:type="spellEnd"/>
      <w:r w:rsidR="002B68AD" w:rsidRPr="0053454D">
        <w:rPr>
          <w:rFonts w:ascii="Arial" w:hAnsi="Arial" w:cs="Arial"/>
          <w:lang w:val="es-MX"/>
        </w:rPr>
        <w:t xml:space="preserve"> y tableros</w:t>
      </w:r>
      <w:r w:rsidRPr="0053454D">
        <w:rPr>
          <w:rFonts w:ascii="Arial" w:hAnsi="Arial" w:cs="Arial"/>
          <w:lang w:val="es-MX"/>
        </w:rPr>
        <w:t xml:space="preserve">. </w:t>
      </w: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r w:rsidRPr="0053454D">
        <w:rPr>
          <w:rFonts w:ascii="Arial" w:hAnsi="Arial" w:cs="Arial"/>
          <w:lang w:val="es-MX"/>
        </w:rPr>
        <w:t>Grafica</w:t>
      </w:r>
      <w:r w:rsidR="00BE66FE" w:rsidRPr="0053454D">
        <w:rPr>
          <w:rFonts w:ascii="Arial" w:hAnsi="Arial" w:cs="Arial"/>
          <w:lang w:val="es-MX"/>
        </w:rPr>
        <w:t xml:space="preserve"> 5</w:t>
      </w:r>
      <w:r w:rsidRPr="0053454D">
        <w:rPr>
          <w:rFonts w:ascii="Arial" w:hAnsi="Arial" w:cs="Arial"/>
          <w:lang w:val="es-MX"/>
        </w:rPr>
        <w:t>. Evaluación tableros de control SIVIGILA</w:t>
      </w:r>
    </w:p>
    <w:p w:rsidR="001A057F" w:rsidRPr="0053454D" w:rsidRDefault="001A057F" w:rsidP="002E0F74">
      <w:pPr>
        <w:spacing w:after="0" w:line="240" w:lineRule="auto"/>
        <w:jc w:val="both"/>
        <w:rPr>
          <w:rFonts w:ascii="Arial" w:hAnsi="Arial" w:cs="Arial"/>
          <w:lang w:val="es-MX"/>
        </w:rPr>
      </w:pPr>
    </w:p>
    <w:p w:rsidR="001A057F" w:rsidRPr="0053454D" w:rsidRDefault="00F26C9E" w:rsidP="002E0F74">
      <w:pPr>
        <w:spacing w:after="0" w:line="240" w:lineRule="auto"/>
        <w:jc w:val="both"/>
        <w:rPr>
          <w:rFonts w:ascii="Arial" w:hAnsi="Arial" w:cs="Arial"/>
          <w:lang w:val="es-MX"/>
        </w:rPr>
      </w:pPr>
      <w:r>
        <w:rPr>
          <w:noProof/>
          <w:lang w:val="es-MX" w:eastAsia="es-MX"/>
        </w:rPr>
        <w:drawing>
          <wp:inline distT="0" distB="0" distL="0" distR="0" wp14:anchorId="0C7FCF46" wp14:editId="3380D400">
            <wp:extent cx="5400040" cy="2828331"/>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26C9E" w:rsidRPr="0053454D" w:rsidRDefault="00F26C9E" w:rsidP="00F26C9E">
      <w:pPr>
        <w:spacing w:after="0" w:line="240" w:lineRule="auto"/>
        <w:jc w:val="both"/>
        <w:rPr>
          <w:rFonts w:ascii="Arial" w:hAnsi="Arial" w:cs="Arial"/>
          <w:lang w:val="es-MX"/>
        </w:rPr>
      </w:pPr>
      <w:r w:rsidRPr="0053454D">
        <w:rPr>
          <w:rFonts w:ascii="Arial" w:hAnsi="Arial" w:cs="Arial"/>
          <w:lang w:val="es-MX"/>
        </w:rPr>
        <w:t xml:space="preserve">Fuente: Evaluación COVE </w:t>
      </w:r>
      <w:r>
        <w:rPr>
          <w:rFonts w:ascii="Arial" w:hAnsi="Arial" w:cs="Arial"/>
          <w:lang w:val="es-MX"/>
        </w:rPr>
        <w:t>Suba</w:t>
      </w:r>
      <w:r w:rsidRPr="0053454D">
        <w:rPr>
          <w:rFonts w:ascii="Arial" w:hAnsi="Arial" w:cs="Arial"/>
          <w:lang w:val="es-MX"/>
        </w:rPr>
        <w:t>. Febrero 2018</w:t>
      </w:r>
    </w:p>
    <w:p w:rsidR="00BE66FE" w:rsidRPr="0053454D" w:rsidRDefault="00BE66FE" w:rsidP="00BE66FE">
      <w:pPr>
        <w:spacing w:after="0" w:line="240" w:lineRule="auto"/>
        <w:jc w:val="both"/>
        <w:rPr>
          <w:rFonts w:ascii="Arial" w:hAnsi="Arial" w:cs="Arial"/>
          <w:lang w:val="es-MX"/>
        </w:rPr>
      </w:pPr>
    </w:p>
    <w:p w:rsidR="001A057F" w:rsidRPr="0053454D" w:rsidRDefault="001A057F" w:rsidP="002E0F74">
      <w:pPr>
        <w:spacing w:after="0" w:line="240" w:lineRule="auto"/>
        <w:jc w:val="both"/>
        <w:rPr>
          <w:rFonts w:ascii="Arial" w:hAnsi="Arial" w:cs="Arial"/>
          <w:lang w:val="es-MX"/>
        </w:rPr>
      </w:pPr>
    </w:p>
    <w:p w:rsidR="001A057F" w:rsidRPr="0053454D" w:rsidRDefault="001A057F" w:rsidP="002E0F74">
      <w:pPr>
        <w:autoSpaceDE w:val="0"/>
        <w:spacing w:after="0" w:line="360" w:lineRule="auto"/>
        <w:jc w:val="both"/>
        <w:rPr>
          <w:rFonts w:ascii="Arial" w:hAnsi="Arial" w:cs="Arial"/>
          <w:lang w:eastAsia="es-CO"/>
        </w:rPr>
      </w:pPr>
    </w:p>
    <w:p w:rsidR="00F13FEA" w:rsidRPr="0053454D" w:rsidRDefault="00F13FEA" w:rsidP="002E0F74">
      <w:pPr>
        <w:spacing w:after="0" w:line="360" w:lineRule="auto"/>
        <w:jc w:val="both"/>
        <w:rPr>
          <w:rFonts w:ascii="Arial" w:hAnsi="Arial" w:cs="Arial"/>
          <w:lang w:eastAsia="es-CO"/>
        </w:rPr>
      </w:pPr>
    </w:p>
    <w:p w:rsidR="00F13FEA" w:rsidRPr="0053454D" w:rsidRDefault="00F13FEA" w:rsidP="002E0F74">
      <w:pPr>
        <w:spacing w:after="0" w:line="360" w:lineRule="auto"/>
        <w:jc w:val="both"/>
        <w:rPr>
          <w:rFonts w:ascii="Arial" w:hAnsi="Arial" w:cs="Arial"/>
          <w:lang w:eastAsia="es-CO"/>
        </w:rPr>
      </w:pPr>
    </w:p>
    <w:p w:rsidR="00D36C0D" w:rsidRPr="0053454D" w:rsidRDefault="00D36C0D" w:rsidP="00D36C0D">
      <w:pPr>
        <w:spacing w:after="0" w:line="360" w:lineRule="auto"/>
        <w:jc w:val="both"/>
        <w:rPr>
          <w:rFonts w:ascii="Arial" w:hAnsi="Arial" w:cs="Arial"/>
          <w:b/>
        </w:rPr>
      </w:pPr>
      <w:r w:rsidRPr="0053454D">
        <w:rPr>
          <w:rFonts w:ascii="Arial" w:hAnsi="Arial" w:cs="Arial"/>
          <w:b/>
        </w:rPr>
        <w:t>Conclusiones</w:t>
      </w:r>
    </w:p>
    <w:p w:rsidR="00D36C0D" w:rsidRPr="0053454D" w:rsidRDefault="00D36C0D" w:rsidP="00D36C0D">
      <w:pPr>
        <w:spacing w:after="0" w:line="360" w:lineRule="auto"/>
        <w:jc w:val="both"/>
        <w:rPr>
          <w:rFonts w:ascii="Arial" w:hAnsi="Arial" w:cs="Arial"/>
        </w:rPr>
      </w:pPr>
      <w:r w:rsidRPr="0053454D">
        <w:rPr>
          <w:rFonts w:ascii="Arial" w:hAnsi="Arial" w:cs="Arial"/>
        </w:rPr>
        <w:t>Los temas socializados desde el subsistema SIVISTRA permitieron promover el proceso de notificación de probables eventos ocupacionales (accidentes de trabajo, enfermedad laboral y condiciones peligrosas) en trabajadores informales que se puedan identificar durante la consulta médica en las respectivas unidades primarias generadoras de datos (UPGD), diligenciando la ficha de notificación correspondiente de forma oportuna teniendo en cuenta los datos básicos para la correspondiente investigación.</w:t>
      </w:r>
    </w:p>
    <w:p w:rsidR="00D36C0D" w:rsidRPr="0053454D" w:rsidRDefault="00D36C0D" w:rsidP="00D36C0D">
      <w:pPr>
        <w:autoSpaceDE w:val="0"/>
        <w:autoSpaceDN w:val="0"/>
        <w:adjustRightInd w:val="0"/>
        <w:spacing w:after="0" w:line="360" w:lineRule="auto"/>
        <w:jc w:val="both"/>
        <w:rPr>
          <w:rFonts w:ascii="Arial" w:hAnsi="Arial" w:cs="Arial"/>
          <w:lang w:val="es-CO" w:eastAsia="es-CO"/>
        </w:rPr>
      </w:pPr>
      <w:r w:rsidRPr="0053454D">
        <w:rPr>
          <w:rFonts w:ascii="Arial" w:hAnsi="Arial" w:cs="Arial"/>
          <w:lang w:val="es-CO" w:eastAsia="es-CO"/>
        </w:rPr>
        <w:t xml:space="preserve">Las acciones en salud oral con un enfoque promocional y preventivo están teniendo un impacto mínimo en las poblaciones, lo cual repercute en el comportamiento de los índices en cada uno de ellos. </w:t>
      </w:r>
    </w:p>
    <w:p w:rsidR="00341E8F" w:rsidRPr="0053454D" w:rsidRDefault="00D36C0D" w:rsidP="00D36C0D">
      <w:pPr>
        <w:autoSpaceDE w:val="0"/>
        <w:autoSpaceDN w:val="0"/>
        <w:adjustRightInd w:val="0"/>
        <w:spacing w:after="0" w:line="360" w:lineRule="auto"/>
        <w:jc w:val="both"/>
        <w:rPr>
          <w:rFonts w:ascii="Arial" w:hAnsi="Arial" w:cs="Arial"/>
          <w:lang w:val="es-CO" w:eastAsia="es-CO"/>
        </w:rPr>
      </w:pPr>
      <w:r w:rsidRPr="0053454D">
        <w:rPr>
          <w:rFonts w:ascii="Arial" w:hAnsi="Arial" w:cs="Arial"/>
          <w:lang w:val="es-CO" w:eastAsia="es-CO"/>
        </w:rPr>
        <w:t>Es importante evaluar las acciones en salud oral que se realizan en las comunidades, especialmente la comunidad escolar, debido a que las actividades de promoción de la salud y prevención de la enfermedad no están cumpliendo con tal fin y se está encontrando población joven y de la etapa de infancia, en condiciones no favorables para su salud general.</w:t>
      </w:r>
      <w:r w:rsidR="00341E8F" w:rsidRPr="0053454D">
        <w:rPr>
          <w:rFonts w:ascii="Arial" w:hAnsi="Arial" w:cs="Arial"/>
          <w:lang w:val="es-CO" w:eastAsia="es-CO"/>
        </w:rPr>
        <w:t xml:space="preserve"> </w:t>
      </w:r>
    </w:p>
    <w:p w:rsidR="00341E8F" w:rsidRPr="0053454D" w:rsidRDefault="00341E8F" w:rsidP="00341E8F">
      <w:pPr>
        <w:spacing w:after="0" w:line="240" w:lineRule="auto"/>
        <w:jc w:val="both"/>
        <w:rPr>
          <w:rFonts w:ascii="Arial" w:hAnsi="Arial" w:cs="Arial"/>
          <w:lang w:val="es-MX"/>
        </w:rPr>
      </w:pPr>
    </w:p>
    <w:p w:rsidR="00D36C0D" w:rsidRPr="0053454D" w:rsidRDefault="00D36C0D" w:rsidP="002E0F74">
      <w:pPr>
        <w:spacing w:after="0" w:line="360" w:lineRule="auto"/>
        <w:jc w:val="both"/>
        <w:rPr>
          <w:rFonts w:ascii="Arial" w:hAnsi="Arial" w:cs="Arial"/>
          <w:lang w:val="es-MX"/>
        </w:rPr>
      </w:pPr>
    </w:p>
    <w:p w:rsidR="001A057F" w:rsidRPr="0053454D" w:rsidRDefault="001A057F" w:rsidP="002E0F74">
      <w:pPr>
        <w:spacing w:after="0" w:line="360" w:lineRule="auto"/>
        <w:jc w:val="both"/>
        <w:rPr>
          <w:rFonts w:ascii="Arial" w:hAnsi="Arial" w:cs="Arial"/>
          <w:b/>
        </w:rPr>
      </w:pPr>
      <w:r w:rsidRPr="0053454D">
        <w:rPr>
          <w:rFonts w:ascii="Arial" w:hAnsi="Arial" w:cs="Arial"/>
          <w:b/>
        </w:rPr>
        <w:t>Recomendaciones</w:t>
      </w:r>
    </w:p>
    <w:p w:rsidR="00D36C0D" w:rsidRPr="0053454D" w:rsidRDefault="00D36C0D" w:rsidP="00D36C0D">
      <w:pPr>
        <w:spacing w:after="0" w:line="240" w:lineRule="auto"/>
        <w:rPr>
          <w:rFonts w:ascii="Arial" w:hAnsi="Arial" w:cs="Arial"/>
        </w:rPr>
      </w:pPr>
    </w:p>
    <w:p w:rsidR="006A1D6A" w:rsidRPr="0053454D" w:rsidRDefault="006A1D6A" w:rsidP="00D36C0D">
      <w:pPr>
        <w:pStyle w:val="Prrafodelista"/>
        <w:numPr>
          <w:ilvl w:val="0"/>
          <w:numId w:val="16"/>
        </w:numPr>
        <w:spacing w:line="360" w:lineRule="auto"/>
        <w:jc w:val="both"/>
        <w:rPr>
          <w:rFonts w:ascii="Arial" w:hAnsi="Arial" w:cs="Arial"/>
        </w:rPr>
      </w:pPr>
      <w:r w:rsidRPr="0053454D">
        <w:rPr>
          <w:rFonts w:ascii="Arial" w:hAnsi="Arial" w:cs="Arial"/>
        </w:rPr>
        <w:t>P</w:t>
      </w:r>
      <w:r w:rsidR="00D36C0D" w:rsidRPr="0053454D">
        <w:rPr>
          <w:rFonts w:ascii="Arial" w:hAnsi="Arial" w:cs="Arial"/>
        </w:rPr>
        <w:t>romover la notificación a Vigilancia en Salud Pública – VSP según el caso que se presente y al subsistema pertinente (SIVISTRA – SISVESO).</w:t>
      </w:r>
    </w:p>
    <w:p w:rsidR="00D36C0D" w:rsidRPr="0053454D" w:rsidRDefault="006A1D6A" w:rsidP="00D36C0D">
      <w:pPr>
        <w:pStyle w:val="Prrafodelista"/>
        <w:numPr>
          <w:ilvl w:val="0"/>
          <w:numId w:val="16"/>
        </w:numPr>
        <w:spacing w:line="360" w:lineRule="auto"/>
        <w:jc w:val="both"/>
        <w:rPr>
          <w:rFonts w:ascii="Arial" w:hAnsi="Arial" w:cs="Arial"/>
        </w:rPr>
      </w:pPr>
      <w:r w:rsidRPr="0053454D">
        <w:rPr>
          <w:rFonts w:ascii="Arial" w:hAnsi="Arial" w:cs="Arial"/>
        </w:rPr>
        <w:t xml:space="preserve">Difundir la información a profesionales asistenciales de sus instituciones, usuarios y sus familias, las temáticas desarrolladas en el presente Comité. </w:t>
      </w:r>
    </w:p>
    <w:p w:rsidR="00D36C0D" w:rsidRPr="0053454D" w:rsidRDefault="006A1D6A" w:rsidP="00D36C0D">
      <w:pPr>
        <w:pStyle w:val="Prrafodelista"/>
        <w:numPr>
          <w:ilvl w:val="0"/>
          <w:numId w:val="16"/>
        </w:numPr>
        <w:spacing w:line="360" w:lineRule="auto"/>
        <w:jc w:val="both"/>
        <w:rPr>
          <w:rFonts w:ascii="Arial" w:hAnsi="Arial" w:cs="Arial"/>
        </w:rPr>
      </w:pPr>
      <w:r w:rsidRPr="0053454D">
        <w:rPr>
          <w:rFonts w:ascii="Arial" w:hAnsi="Arial" w:cs="Arial"/>
        </w:rPr>
        <w:t>G</w:t>
      </w:r>
      <w:r w:rsidR="00D36C0D" w:rsidRPr="0053454D">
        <w:rPr>
          <w:rFonts w:ascii="Arial" w:hAnsi="Arial" w:cs="Arial"/>
        </w:rPr>
        <w:t xml:space="preserve">enerar </w:t>
      </w:r>
      <w:r w:rsidRPr="0053454D">
        <w:rPr>
          <w:rFonts w:ascii="Arial" w:hAnsi="Arial" w:cs="Arial"/>
        </w:rPr>
        <w:t>tranquilidad a los usuarios con probables eventos de origen laboral frente a las investigaciones del equipo SIVISTRA.</w:t>
      </w:r>
    </w:p>
    <w:p w:rsidR="00660C76" w:rsidRPr="0053454D" w:rsidRDefault="00660C76" w:rsidP="00660C76">
      <w:pPr>
        <w:numPr>
          <w:ilvl w:val="0"/>
          <w:numId w:val="16"/>
        </w:numPr>
        <w:spacing w:after="200" w:line="276" w:lineRule="auto"/>
        <w:rPr>
          <w:rFonts w:ascii="Arial" w:hAnsi="Arial" w:cs="Arial"/>
          <w:lang w:val="es-CO"/>
        </w:rPr>
      </w:pPr>
      <w:r w:rsidRPr="0053454D">
        <w:rPr>
          <w:rFonts w:ascii="Arial" w:hAnsi="Arial" w:cs="Arial"/>
          <w:lang w:val="es-CO"/>
        </w:rPr>
        <w:t>Fortalecer a la comunidad y/o pacientes en la importancia de consultar al odontólogo.</w:t>
      </w:r>
    </w:p>
    <w:p w:rsidR="00660C76" w:rsidRPr="0053454D" w:rsidRDefault="00660C76" w:rsidP="00660C76">
      <w:pPr>
        <w:numPr>
          <w:ilvl w:val="0"/>
          <w:numId w:val="16"/>
        </w:numPr>
        <w:spacing w:after="200" w:line="276" w:lineRule="auto"/>
        <w:rPr>
          <w:rFonts w:ascii="Arial" w:hAnsi="Arial" w:cs="Arial"/>
          <w:lang w:val="es-CO"/>
        </w:rPr>
      </w:pPr>
      <w:r w:rsidRPr="0053454D">
        <w:rPr>
          <w:rFonts w:ascii="Arial" w:hAnsi="Arial" w:cs="Arial"/>
          <w:lang w:val="es-CO"/>
        </w:rPr>
        <w:t>Fortalecer a la comunidad y/o pacientes en el reconocimiento de deberes y derechos en salud.</w:t>
      </w:r>
    </w:p>
    <w:p w:rsidR="00660C76" w:rsidRPr="0053454D" w:rsidRDefault="00660C76" w:rsidP="00660C76">
      <w:pPr>
        <w:numPr>
          <w:ilvl w:val="0"/>
          <w:numId w:val="16"/>
        </w:numPr>
        <w:spacing w:after="200" w:line="276" w:lineRule="auto"/>
        <w:rPr>
          <w:rFonts w:ascii="Arial" w:hAnsi="Arial" w:cs="Arial"/>
          <w:lang w:val="es-CO"/>
        </w:rPr>
      </w:pPr>
      <w:r w:rsidRPr="0053454D">
        <w:rPr>
          <w:rFonts w:ascii="Arial" w:hAnsi="Arial" w:cs="Arial"/>
          <w:lang w:val="es-CO"/>
        </w:rPr>
        <w:t>Fortalecer las actividades de demanda inducida.</w:t>
      </w:r>
    </w:p>
    <w:p w:rsidR="00660C76" w:rsidRPr="0053454D" w:rsidRDefault="00660C76" w:rsidP="00660C76">
      <w:pPr>
        <w:numPr>
          <w:ilvl w:val="0"/>
          <w:numId w:val="16"/>
        </w:numPr>
        <w:spacing w:after="200" w:line="276" w:lineRule="auto"/>
        <w:rPr>
          <w:rFonts w:ascii="Arial" w:hAnsi="Arial" w:cs="Arial"/>
          <w:lang w:val="es-CO"/>
        </w:rPr>
      </w:pPr>
      <w:r w:rsidRPr="0053454D">
        <w:rPr>
          <w:rFonts w:ascii="Arial" w:hAnsi="Arial" w:cs="Arial"/>
          <w:lang w:val="es-CO"/>
        </w:rPr>
        <w:t>Mejorar los canales de comunicación entre las redes de atención en salud.</w:t>
      </w:r>
    </w:p>
    <w:p w:rsidR="00660C76" w:rsidRPr="0053454D" w:rsidRDefault="00660C76" w:rsidP="00660C76">
      <w:pPr>
        <w:numPr>
          <w:ilvl w:val="0"/>
          <w:numId w:val="16"/>
        </w:numPr>
        <w:spacing w:after="200" w:line="276" w:lineRule="auto"/>
        <w:rPr>
          <w:rFonts w:ascii="Arial" w:hAnsi="Arial" w:cs="Arial"/>
          <w:lang w:val="es-CO"/>
        </w:rPr>
      </w:pPr>
      <w:r w:rsidRPr="0053454D">
        <w:rPr>
          <w:rFonts w:ascii="Arial" w:hAnsi="Arial" w:cs="Arial"/>
          <w:lang w:val="es-CO"/>
        </w:rPr>
        <w:t>Fortalecer e involucrar a las diferentes instituciones o actores en seguridad para dar solución de manera integral a los casos encontrados en salud.</w:t>
      </w:r>
    </w:p>
    <w:p w:rsidR="00C04345" w:rsidRPr="0053454D" w:rsidRDefault="00C04345" w:rsidP="00660C76">
      <w:pPr>
        <w:numPr>
          <w:ilvl w:val="0"/>
          <w:numId w:val="16"/>
        </w:numPr>
        <w:spacing w:after="200" w:line="276" w:lineRule="auto"/>
        <w:rPr>
          <w:rFonts w:ascii="Arial" w:hAnsi="Arial" w:cs="Arial"/>
          <w:lang w:val="es-CO"/>
        </w:rPr>
      </w:pPr>
      <w:r w:rsidRPr="0053454D">
        <w:rPr>
          <w:rFonts w:ascii="Arial" w:hAnsi="Arial" w:cs="Arial"/>
          <w:lang w:val="es-CO"/>
        </w:rPr>
        <w:lastRenderedPageBreak/>
        <w:t xml:space="preserve">Promover proceso de notificación de probables eventos ocupacionales (accidente de trabajo / enfermedad laboral / condición peligrosa) </w:t>
      </w:r>
      <w:r w:rsidR="003C2E95" w:rsidRPr="0053454D">
        <w:rPr>
          <w:rFonts w:ascii="Arial" w:hAnsi="Arial" w:cs="Arial"/>
          <w:lang w:val="es-CO"/>
        </w:rPr>
        <w:t>en</w:t>
      </w:r>
      <w:r w:rsidR="00161D0C" w:rsidRPr="0053454D">
        <w:rPr>
          <w:rFonts w:ascii="Arial" w:hAnsi="Arial" w:cs="Arial"/>
          <w:lang w:val="es-CO"/>
        </w:rPr>
        <w:t xml:space="preserve"> </w:t>
      </w:r>
      <w:r w:rsidRPr="0053454D">
        <w:rPr>
          <w:rFonts w:ascii="Arial" w:hAnsi="Arial" w:cs="Arial"/>
          <w:lang w:val="es-CO"/>
        </w:rPr>
        <w:t xml:space="preserve">trabajadores informales al interior de las unidades informadoras </w:t>
      </w:r>
      <w:r w:rsidR="00161D0C" w:rsidRPr="0053454D">
        <w:rPr>
          <w:rFonts w:ascii="Arial" w:hAnsi="Arial" w:cs="Arial"/>
          <w:lang w:val="es-CO"/>
        </w:rPr>
        <w:t>para reconocimiento de la población y su condición en salud relacionada con el entorno laboral.</w:t>
      </w:r>
    </w:p>
    <w:p w:rsidR="00660C76" w:rsidRPr="0053454D" w:rsidRDefault="00660C76" w:rsidP="00660C76">
      <w:pPr>
        <w:spacing w:line="360" w:lineRule="auto"/>
        <w:ind w:left="720"/>
        <w:jc w:val="both"/>
        <w:rPr>
          <w:rFonts w:ascii="Arial" w:hAnsi="Arial" w:cs="Arial"/>
          <w:lang w:val="es-CO"/>
        </w:rPr>
      </w:pPr>
    </w:p>
    <w:p w:rsidR="00660C76" w:rsidRPr="0053454D" w:rsidRDefault="00660C76" w:rsidP="00660C76">
      <w:pPr>
        <w:spacing w:after="0" w:line="360" w:lineRule="auto"/>
        <w:jc w:val="both"/>
        <w:rPr>
          <w:rFonts w:ascii="Arial" w:hAnsi="Arial" w:cs="Arial"/>
          <w:color w:val="000000"/>
          <w:lang w:val="es-CO" w:eastAsia="es-CO"/>
        </w:rPr>
      </w:pPr>
    </w:p>
    <w:p w:rsidR="001A057F" w:rsidRPr="0053454D" w:rsidRDefault="001A057F" w:rsidP="002E0F74">
      <w:pPr>
        <w:spacing w:after="0" w:line="360" w:lineRule="auto"/>
        <w:jc w:val="both"/>
        <w:rPr>
          <w:rFonts w:ascii="Arial" w:hAnsi="Arial" w:cs="Arial"/>
          <w:color w:val="FF0000"/>
        </w:rPr>
      </w:pPr>
    </w:p>
    <w:p w:rsidR="001A057F" w:rsidRPr="0053454D" w:rsidRDefault="001A057F" w:rsidP="002E0F74">
      <w:pPr>
        <w:spacing w:after="0" w:line="360" w:lineRule="auto"/>
        <w:jc w:val="both"/>
        <w:rPr>
          <w:rFonts w:ascii="Arial" w:hAnsi="Arial" w:cs="Arial"/>
        </w:rPr>
      </w:pPr>
      <w:r w:rsidRPr="0053454D">
        <w:rPr>
          <w:rFonts w:ascii="Arial" w:hAnsi="Arial" w:cs="Arial"/>
          <w:b/>
        </w:rPr>
        <w:t>f) seguimiento a los compromisos anteriores</w:t>
      </w:r>
    </w:p>
    <w:p w:rsidR="001A057F" w:rsidRPr="0053454D" w:rsidRDefault="001A057F" w:rsidP="002E0F74">
      <w:pPr>
        <w:spacing w:after="0" w:line="360" w:lineRule="auto"/>
        <w:jc w:val="both"/>
        <w:rPr>
          <w:rFonts w:ascii="Arial" w:hAnsi="Arial" w:cs="Arial"/>
        </w:rPr>
      </w:pPr>
      <w:r w:rsidRPr="0053454D">
        <w:rPr>
          <w:rFonts w:ascii="Arial" w:hAnsi="Arial" w:cs="Arial"/>
          <w:lang w:val="es-MX"/>
        </w:rPr>
        <w:t xml:space="preserve">No se generaron compromisos en acta anterior. </w:t>
      </w:r>
    </w:p>
    <w:p w:rsidR="001A057F" w:rsidRPr="0053454D" w:rsidRDefault="001A057F" w:rsidP="002E0F74">
      <w:pPr>
        <w:spacing w:after="0" w:line="360" w:lineRule="auto"/>
        <w:jc w:val="both"/>
        <w:rPr>
          <w:rFonts w:ascii="Arial" w:hAnsi="Arial" w:cs="Arial"/>
          <w:lang w:val="es-MX"/>
        </w:rPr>
      </w:pPr>
    </w:p>
    <w:p w:rsidR="00103E6F" w:rsidRPr="0053454D" w:rsidRDefault="00103E6F" w:rsidP="002E0F74">
      <w:pPr>
        <w:spacing w:after="0" w:line="360" w:lineRule="auto"/>
        <w:jc w:val="both"/>
        <w:rPr>
          <w:rFonts w:ascii="Arial" w:hAnsi="Arial" w:cs="Arial"/>
          <w:b/>
          <w:color w:val="FF0000"/>
          <w:lang w:val="es-MX"/>
        </w:rPr>
      </w:pPr>
    </w:p>
    <w:p w:rsidR="001A057F" w:rsidRPr="0053454D" w:rsidRDefault="00103E6F" w:rsidP="002E0F74">
      <w:pPr>
        <w:spacing w:after="0" w:line="360" w:lineRule="auto"/>
        <w:jc w:val="both"/>
        <w:rPr>
          <w:rFonts w:ascii="Arial" w:hAnsi="Arial" w:cs="Arial"/>
          <w:b/>
          <w:lang w:val="es-MX"/>
        </w:rPr>
      </w:pPr>
      <w:r w:rsidRPr="0053454D">
        <w:rPr>
          <w:rFonts w:ascii="Arial" w:hAnsi="Arial" w:cs="Arial"/>
          <w:b/>
          <w:lang w:val="es-MX"/>
        </w:rPr>
        <w:t xml:space="preserve">Anexa </w:t>
      </w:r>
      <w:r w:rsidR="001A057F" w:rsidRPr="0053454D">
        <w:rPr>
          <w:rFonts w:ascii="Arial" w:hAnsi="Arial" w:cs="Arial"/>
          <w:b/>
          <w:lang w:val="es-MX"/>
        </w:rPr>
        <w:t>Listados de asistencia.</w:t>
      </w:r>
    </w:p>
    <w:p w:rsidR="001A057F" w:rsidRPr="0053454D" w:rsidRDefault="001A057F" w:rsidP="002E0F74">
      <w:pPr>
        <w:spacing w:after="0" w:line="360" w:lineRule="auto"/>
        <w:jc w:val="both"/>
        <w:rPr>
          <w:rFonts w:ascii="Arial" w:hAnsi="Arial" w:cs="Arial"/>
        </w:rPr>
      </w:pPr>
      <w:r w:rsidRPr="0053454D">
        <w:rPr>
          <w:rFonts w:ascii="Arial" w:hAnsi="Arial" w:cs="Arial"/>
          <w:lang w:val="es-MX"/>
        </w:rPr>
        <w:t>Ver acta</w:t>
      </w:r>
    </w:p>
    <w:p w:rsidR="00730B97" w:rsidRPr="0053454D" w:rsidRDefault="00730B97" w:rsidP="002E0F74">
      <w:pPr>
        <w:spacing w:line="360" w:lineRule="auto"/>
        <w:jc w:val="both"/>
        <w:rPr>
          <w:rFonts w:ascii="Arial" w:hAnsi="Arial" w:cs="Arial"/>
        </w:rPr>
      </w:pPr>
    </w:p>
    <w:sectPr w:rsidR="00730B97" w:rsidRPr="005345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01" w:rsidRDefault="00ED6C01" w:rsidP="00730B97">
      <w:pPr>
        <w:spacing w:after="0" w:line="240" w:lineRule="auto"/>
      </w:pPr>
      <w:r>
        <w:separator/>
      </w:r>
    </w:p>
  </w:endnote>
  <w:endnote w:type="continuationSeparator" w:id="0">
    <w:p w:rsidR="00ED6C01" w:rsidRDefault="00ED6C01" w:rsidP="0073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Microsoft JhengHei UI">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01" w:rsidRDefault="00ED6C01" w:rsidP="00730B97">
      <w:pPr>
        <w:spacing w:after="0" w:line="240" w:lineRule="auto"/>
      </w:pPr>
      <w:r>
        <w:separator/>
      </w:r>
    </w:p>
  </w:footnote>
  <w:footnote w:type="continuationSeparator" w:id="0">
    <w:p w:rsidR="00ED6C01" w:rsidRDefault="00ED6C01" w:rsidP="00730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0"/>
    <w:lvl w:ilvl="0">
      <w:start w:val="1"/>
      <w:numFmt w:val="lowerLetter"/>
      <w:lvlText w:val="%1)"/>
      <w:lvlJc w:val="left"/>
      <w:pPr>
        <w:tabs>
          <w:tab w:val="num" w:pos="0"/>
        </w:tabs>
        <w:ind w:left="644" w:hanging="360"/>
      </w:pPr>
      <w:rPr>
        <w:rFonts w:ascii="Arial" w:hAnsi="Arial" w:cs="Arial" w:hint="default"/>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000000A"/>
    <w:multiLevelType w:val="multilevel"/>
    <w:tmpl w:val="0000000A"/>
    <w:lvl w:ilvl="0">
      <w:start w:val="1"/>
      <w:numFmt w:val="lowerLetter"/>
      <w:lvlText w:val="%1)"/>
      <w:lvlJc w:val="left"/>
      <w:pPr>
        <w:tabs>
          <w:tab w:val="num" w:pos="0"/>
        </w:tabs>
        <w:ind w:left="644" w:hanging="360"/>
      </w:pPr>
      <w:rPr>
        <w:rFonts w:ascii="Arial" w:hAnsi="Arial" w:cs="Arial" w:hint="default"/>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nsid w:val="0D8842EE"/>
    <w:multiLevelType w:val="hybridMultilevel"/>
    <w:tmpl w:val="B448D404"/>
    <w:lvl w:ilvl="0" w:tplc="4F58764A">
      <w:start w:val="1"/>
      <w:numFmt w:val="bullet"/>
      <w:lvlText w:val=""/>
      <w:lvlJc w:val="left"/>
      <w:pPr>
        <w:tabs>
          <w:tab w:val="num" w:pos="720"/>
        </w:tabs>
        <w:ind w:left="720" w:hanging="360"/>
      </w:pPr>
      <w:rPr>
        <w:rFonts w:ascii="Wingdings" w:hAnsi="Wingdings" w:hint="default"/>
      </w:rPr>
    </w:lvl>
    <w:lvl w:ilvl="1" w:tplc="50F657D2">
      <w:start w:val="1"/>
      <w:numFmt w:val="bullet"/>
      <w:lvlText w:val=""/>
      <w:lvlJc w:val="left"/>
      <w:pPr>
        <w:tabs>
          <w:tab w:val="num" w:pos="1440"/>
        </w:tabs>
        <w:ind w:left="1440" w:hanging="360"/>
      </w:pPr>
      <w:rPr>
        <w:rFonts w:ascii="Wingdings" w:hAnsi="Wingdings" w:hint="default"/>
      </w:rPr>
    </w:lvl>
    <w:lvl w:ilvl="2" w:tplc="6F82598A">
      <w:start w:val="1"/>
      <w:numFmt w:val="bullet"/>
      <w:lvlText w:val=""/>
      <w:lvlJc w:val="left"/>
      <w:pPr>
        <w:tabs>
          <w:tab w:val="num" w:pos="2160"/>
        </w:tabs>
        <w:ind w:left="2160" w:hanging="360"/>
      </w:pPr>
      <w:rPr>
        <w:rFonts w:ascii="Wingdings" w:hAnsi="Wingdings" w:hint="default"/>
      </w:rPr>
    </w:lvl>
    <w:lvl w:ilvl="3" w:tplc="5AFA7F5C">
      <w:start w:val="1"/>
      <w:numFmt w:val="bullet"/>
      <w:lvlText w:val=""/>
      <w:lvlJc w:val="left"/>
      <w:pPr>
        <w:tabs>
          <w:tab w:val="num" w:pos="2880"/>
        </w:tabs>
        <w:ind w:left="2880" w:hanging="360"/>
      </w:pPr>
      <w:rPr>
        <w:rFonts w:ascii="Wingdings" w:hAnsi="Wingdings" w:hint="default"/>
      </w:rPr>
    </w:lvl>
    <w:lvl w:ilvl="4" w:tplc="6A34A30A">
      <w:start w:val="1"/>
      <w:numFmt w:val="bullet"/>
      <w:lvlText w:val=""/>
      <w:lvlJc w:val="left"/>
      <w:pPr>
        <w:tabs>
          <w:tab w:val="num" w:pos="3600"/>
        </w:tabs>
        <w:ind w:left="3600" w:hanging="360"/>
      </w:pPr>
      <w:rPr>
        <w:rFonts w:ascii="Wingdings" w:hAnsi="Wingdings" w:hint="default"/>
      </w:rPr>
    </w:lvl>
    <w:lvl w:ilvl="5" w:tplc="4D622432">
      <w:start w:val="1"/>
      <w:numFmt w:val="bullet"/>
      <w:lvlText w:val=""/>
      <w:lvlJc w:val="left"/>
      <w:pPr>
        <w:tabs>
          <w:tab w:val="num" w:pos="4320"/>
        </w:tabs>
        <w:ind w:left="4320" w:hanging="360"/>
      </w:pPr>
      <w:rPr>
        <w:rFonts w:ascii="Wingdings" w:hAnsi="Wingdings" w:hint="default"/>
      </w:rPr>
    </w:lvl>
    <w:lvl w:ilvl="6" w:tplc="0C463DEA">
      <w:start w:val="1"/>
      <w:numFmt w:val="bullet"/>
      <w:lvlText w:val=""/>
      <w:lvlJc w:val="left"/>
      <w:pPr>
        <w:tabs>
          <w:tab w:val="num" w:pos="5040"/>
        </w:tabs>
        <w:ind w:left="5040" w:hanging="360"/>
      </w:pPr>
      <w:rPr>
        <w:rFonts w:ascii="Wingdings" w:hAnsi="Wingdings" w:hint="default"/>
      </w:rPr>
    </w:lvl>
    <w:lvl w:ilvl="7" w:tplc="A25E85FE">
      <w:start w:val="1"/>
      <w:numFmt w:val="bullet"/>
      <w:lvlText w:val=""/>
      <w:lvlJc w:val="left"/>
      <w:pPr>
        <w:tabs>
          <w:tab w:val="num" w:pos="5760"/>
        </w:tabs>
        <w:ind w:left="5760" w:hanging="360"/>
      </w:pPr>
      <w:rPr>
        <w:rFonts w:ascii="Wingdings" w:hAnsi="Wingdings" w:hint="default"/>
      </w:rPr>
    </w:lvl>
    <w:lvl w:ilvl="8" w:tplc="D1621E4A">
      <w:start w:val="1"/>
      <w:numFmt w:val="bullet"/>
      <w:lvlText w:val=""/>
      <w:lvlJc w:val="left"/>
      <w:pPr>
        <w:tabs>
          <w:tab w:val="num" w:pos="6480"/>
        </w:tabs>
        <w:ind w:left="6480" w:hanging="360"/>
      </w:pPr>
      <w:rPr>
        <w:rFonts w:ascii="Wingdings" w:hAnsi="Wingdings" w:hint="default"/>
      </w:rPr>
    </w:lvl>
  </w:abstractNum>
  <w:abstractNum w:abstractNumId="3">
    <w:nsid w:val="13E45281"/>
    <w:multiLevelType w:val="hybridMultilevel"/>
    <w:tmpl w:val="713EF422"/>
    <w:lvl w:ilvl="0" w:tplc="71AA236C">
      <w:start w:val="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0A3A31"/>
    <w:multiLevelType w:val="hybridMultilevel"/>
    <w:tmpl w:val="5E043B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C9A7EF6"/>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E828BD"/>
    <w:multiLevelType w:val="hybridMultilevel"/>
    <w:tmpl w:val="181A0A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6DA32B6"/>
    <w:multiLevelType w:val="hybridMultilevel"/>
    <w:tmpl w:val="55C85E3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28A31C74"/>
    <w:multiLevelType w:val="hybridMultilevel"/>
    <w:tmpl w:val="962A41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DB03A8"/>
    <w:multiLevelType w:val="hybridMultilevel"/>
    <w:tmpl w:val="FEA20FF2"/>
    <w:lvl w:ilvl="0" w:tplc="10E2F734">
      <w:start w:val="1"/>
      <w:numFmt w:val="bullet"/>
      <w:lvlText w:val="•"/>
      <w:lvlJc w:val="left"/>
      <w:pPr>
        <w:tabs>
          <w:tab w:val="num" w:pos="720"/>
        </w:tabs>
        <w:ind w:left="720" w:hanging="360"/>
      </w:pPr>
      <w:rPr>
        <w:rFonts w:ascii="Arial" w:hAnsi="Arial" w:cs="Times New Roman" w:hint="default"/>
      </w:rPr>
    </w:lvl>
    <w:lvl w:ilvl="1" w:tplc="138416CA">
      <w:start w:val="1"/>
      <w:numFmt w:val="bullet"/>
      <w:lvlText w:val="•"/>
      <w:lvlJc w:val="left"/>
      <w:pPr>
        <w:tabs>
          <w:tab w:val="num" w:pos="1440"/>
        </w:tabs>
        <w:ind w:left="1440" w:hanging="360"/>
      </w:pPr>
      <w:rPr>
        <w:rFonts w:ascii="Arial" w:hAnsi="Arial" w:cs="Times New Roman" w:hint="default"/>
      </w:rPr>
    </w:lvl>
    <w:lvl w:ilvl="2" w:tplc="BFF6F088">
      <w:start w:val="1"/>
      <w:numFmt w:val="bullet"/>
      <w:lvlText w:val="•"/>
      <w:lvlJc w:val="left"/>
      <w:pPr>
        <w:tabs>
          <w:tab w:val="num" w:pos="2160"/>
        </w:tabs>
        <w:ind w:left="2160" w:hanging="360"/>
      </w:pPr>
      <w:rPr>
        <w:rFonts w:ascii="Arial" w:hAnsi="Arial" w:cs="Times New Roman" w:hint="default"/>
      </w:rPr>
    </w:lvl>
    <w:lvl w:ilvl="3" w:tplc="3D82279E">
      <w:start w:val="1"/>
      <w:numFmt w:val="bullet"/>
      <w:lvlText w:val="•"/>
      <w:lvlJc w:val="left"/>
      <w:pPr>
        <w:tabs>
          <w:tab w:val="num" w:pos="2880"/>
        </w:tabs>
        <w:ind w:left="2880" w:hanging="360"/>
      </w:pPr>
      <w:rPr>
        <w:rFonts w:ascii="Arial" w:hAnsi="Arial" w:cs="Times New Roman" w:hint="default"/>
      </w:rPr>
    </w:lvl>
    <w:lvl w:ilvl="4" w:tplc="60505FF0">
      <w:start w:val="1"/>
      <w:numFmt w:val="bullet"/>
      <w:lvlText w:val="•"/>
      <w:lvlJc w:val="left"/>
      <w:pPr>
        <w:tabs>
          <w:tab w:val="num" w:pos="3600"/>
        </w:tabs>
        <w:ind w:left="3600" w:hanging="360"/>
      </w:pPr>
      <w:rPr>
        <w:rFonts w:ascii="Arial" w:hAnsi="Arial" w:cs="Times New Roman" w:hint="default"/>
      </w:rPr>
    </w:lvl>
    <w:lvl w:ilvl="5" w:tplc="CE0ACBFC">
      <w:start w:val="1"/>
      <w:numFmt w:val="bullet"/>
      <w:lvlText w:val="•"/>
      <w:lvlJc w:val="left"/>
      <w:pPr>
        <w:tabs>
          <w:tab w:val="num" w:pos="4320"/>
        </w:tabs>
        <w:ind w:left="4320" w:hanging="360"/>
      </w:pPr>
      <w:rPr>
        <w:rFonts w:ascii="Arial" w:hAnsi="Arial" w:cs="Times New Roman" w:hint="default"/>
      </w:rPr>
    </w:lvl>
    <w:lvl w:ilvl="6" w:tplc="28104BE2">
      <w:start w:val="1"/>
      <w:numFmt w:val="bullet"/>
      <w:lvlText w:val="•"/>
      <w:lvlJc w:val="left"/>
      <w:pPr>
        <w:tabs>
          <w:tab w:val="num" w:pos="5040"/>
        </w:tabs>
        <w:ind w:left="5040" w:hanging="360"/>
      </w:pPr>
      <w:rPr>
        <w:rFonts w:ascii="Arial" w:hAnsi="Arial" w:cs="Times New Roman" w:hint="default"/>
      </w:rPr>
    </w:lvl>
    <w:lvl w:ilvl="7" w:tplc="99BC70EC">
      <w:start w:val="1"/>
      <w:numFmt w:val="bullet"/>
      <w:lvlText w:val="•"/>
      <w:lvlJc w:val="left"/>
      <w:pPr>
        <w:tabs>
          <w:tab w:val="num" w:pos="5760"/>
        </w:tabs>
        <w:ind w:left="5760" w:hanging="360"/>
      </w:pPr>
      <w:rPr>
        <w:rFonts w:ascii="Arial" w:hAnsi="Arial" w:cs="Times New Roman" w:hint="default"/>
      </w:rPr>
    </w:lvl>
    <w:lvl w:ilvl="8" w:tplc="8E20C490">
      <w:start w:val="1"/>
      <w:numFmt w:val="bullet"/>
      <w:lvlText w:val="•"/>
      <w:lvlJc w:val="left"/>
      <w:pPr>
        <w:tabs>
          <w:tab w:val="num" w:pos="6480"/>
        </w:tabs>
        <w:ind w:left="6480" w:hanging="360"/>
      </w:pPr>
      <w:rPr>
        <w:rFonts w:ascii="Arial" w:hAnsi="Arial" w:cs="Times New Roman" w:hint="default"/>
      </w:rPr>
    </w:lvl>
  </w:abstractNum>
  <w:abstractNum w:abstractNumId="10">
    <w:nsid w:val="29002B3B"/>
    <w:multiLevelType w:val="hybridMultilevel"/>
    <w:tmpl w:val="592ECF04"/>
    <w:lvl w:ilvl="0" w:tplc="6F14D0AC">
      <w:start w:val="1"/>
      <w:numFmt w:val="bullet"/>
      <w:lvlText w:val="•"/>
      <w:lvlJc w:val="left"/>
      <w:pPr>
        <w:tabs>
          <w:tab w:val="num" w:pos="720"/>
        </w:tabs>
        <w:ind w:left="720" w:hanging="360"/>
      </w:pPr>
      <w:rPr>
        <w:rFonts w:ascii="Arial" w:hAnsi="Arial" w:cs="Times New Roman" w:hint="default"/>
      </w:rPr>
    </w:lvl>
    <w:lvl w:ilvl="1" w:tplc="044ADA8E">
      <w:start w:val="1"/>
      <w:numFmt w:val="bullet"/>
      <w:lvlText w:val="•"/>
      <w:lvlJc w:val="left"/>
      <w:pPr>
        <w:tabs>
          <w:tab w:val="num" w:pos="1440"/>
        </w:tabs>
        <w:ind w:left="1440" w:hanging="360"/>
      </w:pPr>
      <w:rPr>
        <w:rFonts w:ascii="Arial" w:hAnsi="Arial" w:cs="Times New Roman" w:hint="default"/>
      </w:rPr>
    </w:lvl>
    <w:lvl w:ilvl="2" w:tplc="1FE0167A">
      <w:start w:val="1"/>
      <w:numFmt w:val="bullet"/>
      <w:lvlText w:val="•"/>
      <w:lvlJc w:val="left"/>
      <w:pPr>
        <w:tabs>
          <w:tab w:val="num" w:pos="2160"/>
        </w:tabs>
        <w:ind w:left="2160" w:hanging="360"/>
      </w:pPr>
      <w:rPr>
        <w:rFonts w:ascii="Arial" w:hAnsi="Arial" w:cs="Times New Roman" w:hint="default"/>
      </w:rPr>
    </w:lvl>
    <w:lvl w:ilvl="3" w:tplc="CA4EA6F2">
      <w:start w:val="1"/>
      <w:numFmt w:val="bullet"/>
      <w:lvlText w:val="•"/>
      <w:lvlJc w:val="left"/>
      <w:pPr>
        <w:tabs>
          <w:tab w:val="num" w:pos="2880"/>
        </w:tabs>
        <w:ind w:left="2880" w:hanging="360"/>
      </w:pPr>
      <w:rPr>
        <w:rFonts w:ascii="Arial" w:hAnsi="Arial" w:cs="Times New Roman" w:hint="default"/>
      </w:rPr>
    </w:lvl>
    <w:lvl w:ilvl="4" w:tplc="215AD538">
      <w:start w:val="1"/>
      <w:numFmt w:val="bullet"/>
      <w:lvlText w:val="•"/>
      <w:lvlJc w:val="left"/>
      <w:pPr>
        <w:tabs>
          <w:tab w:val="num" w:pos="3600"/>
        </w:tabs>
        <w:ind w:left="3600" w:hanging="360"/>
      </w:pPr>
      <w:rPr>
        <w:rFonts w:ascii="Arial" w:hAnsi="Arial" w:cs="Times New Roman" w:hint="default"/>
      </w:rPr>
    </w:lvl>
    <w:lvl w:ilvl="5" w:tplc="3FB0A402">
      <w:start w:val="1"/>
      <w:numFmt w:val="bullet"/>
      <w:lvlText w:val="•"/>
      <w:lvlJc w:val="left"/>
      <w:pPr>
        <w:tabs>
          <w:tab w:val="num" w:pos="4320"/>
        </w:tabs>
        <w:ind w:left="4320" w:hanging="360"/>
      </w:pPr>
      <w:rPr>
        <w:rFonts w:ascii="Arial" w:hAnsi="Arial" w:cs="Times New Roman" w:hint="default"/>
      </w:rPr>
    </w:lvl>
    <w:lvl w:ilvl="6" w:tplc="4CB08C54">
      <w:start w:val="1"/>
      <w:numFmt w:val="bullet"/>
      <w:lvlText w:val="•"/>
      <w:lvlJc w:val="left"/>
      <w:pPr>
        <w:tabs>
          <w:tab w:val="num" w:pos="5040"/>
        </w:tabs>
        <w:ind w:left="5040" w:hanging="360"/>
      </w:pPr>
      <w:rPr>
        <w:rFonts w:ascii="Arial" w:hAnsi="Arial" w:cs="Times New Roman" w:hint="default"/>
      </w:rPr>
    </w:lvl>
    <w:lvl w:ilvl="7" w:tplc="F11C4DD0">
      <w:start w:val="1"/>
      <w:numFmt w:val="bullet"/>
      <w:lvlText w:val="•"/>
      <w:lvlJc w:val="left"/>
      <w:pPr>
        <w:tabs>
          <w:tab w:val="num" w:pos="5760"/>
        </w:tabs>
        <w:ind w:left="5760" w:hanging="360"/>
      </w:pPr>
      <w:rPr>
        <w:rFonts w:ascii="Arial" w:hAnsi="Arial" w:cs="Times New Roman" w:hint="default"/>
      </w:rPr>
    </w:lvl>
    <w:lvl w:ilvl="8" w:tplc="B972CF3A">
      <w:start w:val="1"/>
      <w:numFmt w:val="bullet"/>
      <w:lvlText w:val="•"/>
      <w:lvlJc w:val="left"/>
      <w:pPr>
        <w:tabs>
          <w:tab w:val="num" w:pos="6480"/>
        </w:tabs>
        <w:ind w:left="6480" w:hanging="360"/>
      </w:pPr>
      <w:rPr>
        <w:rFonts w:ascii="Arial" w:hAnsi="Arial" w:cs="Times New Roman" w:hint="default"/>
      </w:rPr>
    </w:lvl>
  </w:abstractNum>
  <w:abstractNum w:abstractNumId="11">
    <w:nsid w:val="2B59266E"/>
    <w:multiLevelType w:val="hybridMultilevel"/>
    <w:tmpl w:val="266A0E44"/>
    <w:lvl w:ilvl="0" w:tplc="8E12E410">
      <w:start w:val="1"/>
      <w:numFmt w:val="bullet"/>
      <w:lvlText w:val="•"/>
      <w:lvlJc w:val="left"/>
      <w:pPr>
        <w:tabs>
          <w:tab w:val="num" w:pos="720"/>
        </w:tabs>
        <w:ind w:left="720" w:hanging="360"/>
      </w:pPr>
      <w:rPr>
        <w:rFonts w:ascii="Arial" w:hAnsi="Arial" w:cs="Times New Roman" w:hint="default"/>
      </w:rPr>
    </w:lvl>
    <w:lvl w:ilvl="1" w:tplc="F6AA9110">
      <w:start w:val="1"/>
      <w:numFmt w:val="bullet"/>
      <w:lvlText w:val="•"/>
      <w:lvlJc w:val="left"/>
      <w:pPr>
        <w:tabs>
          <w:tab w:val="num" w:pos="1440"/>
        </w:tabs>
        <w:ind w:left="1440" w:hanging="360"/>
      </w:pPr>
      <w:rPr>
        <w:rFonts w:ascii="Arial" w:hAnsi="Arial" w:cs="Times New Roman" w:hint="default"/>
      </w:rPr>
    </w:lvl>
    <w:lvl w:ilvl="2" w:tplc="AE268EB6">
      <w:start w:val="1"/>
      <w:numFmt w:val="bullet"/>
      <w:lvlText w:val="•"/>
      <w:lvlJc w:val="left"/>
      <w:pPr>
        <w:tabs>
          <w:tab w:val="num" w:pos="2160"/>
        </w:tabs>
        <w:ind w:left="2160" w:hanging="360"/>
      </w:pPr>
      <w:rPr>
        <w:rFonts w:ascii="Arial" w:hAnsi="Arial" w:cs="Times New Roman" w:hint="default"/>
      </w:rPr>
    </w:lvl>
    <w:lvl w:ilvl="3" w:tplc="42645362">
      <w:start w:val="1"/>
      <w:numFmt w:val="bullet"/>
      <w:lvlText w:val="•"/>
      <w:lvlJc w:val="left"/>
      <w:pPr>
        <w:tabs>
          <w:tab w:val="num" w:pos="2880"/>
        </w:tabs>
        <w:ind w:left="2880" w:hanging="360"/>
      </w:pPr>
      <w:rPr>
        <w:rFonts w:ascii="Arial" w:hAnsi="Arial" w:cs="Times New Roman" w:hint="default"/>
      </w:rPr>
    </w:lvl>
    <w:lvl w:ilvl="4" w:tplc="59601088">
      <w:start w:val="1"/>
      <w:numFmt w:val="bullet"/>
      <w:lvlText w:val="•"/>
      <w:lvlJc w:val="left"/>
      <w:pPr>
        <w:tabs>
          <w:tab w:val="num" w:pos="3600"/>
        </w:tabs>
        <w:ind w:left="3600" w:hanging="360"/>
      </w:pPr>
      <w:rPr>
        <w:rFonts w:ascii="Arial" w:hAnsi="Arial" w:cs="Times New Roman" w:hint="default"/>
      </w:rPr>
    </w:lvl>
    <w:lvl w:ilvl="5" w:tplc="8788EAA0">
      <w:start w:val="1"/>
      <w:numFmt w:val="bullet"/>
      <w:lvlText w:val="•"/>
      <w:lvlJc w:val="left"/>
      <w:pPr>
        <w:tabs>
          <w:tab w:val="num" w:pos="4320"/>
        </w:tabs>
        <w:ind w:left="4320" w:hanging="360"/>
      </w:pPr>
      <w:rPr>
        <w:rFonts w:ascii="Arial" w:hAnsi="Arial" w:cs="Times New Roman" w:hint="default"/>
      </w:rPr>
    </w:lvl>
    <w:lvl w:ilvl="6" w:tplc="9C8664C6">
      <w:start w:val="1"/>
      <w:numFmt w:val="bullet"/>
      <w:lvlText w:val="•"/>
      <w:lvlJc w:val="left"/>
      <w:pPr>
        <w:tabs>
          <w:tab w:val="num" w:pos="5040"/>
        </w:tabs>
        <w:ind w:left="5040" w:hanging="360"/>
      </w:pPr>
      <w:rPr>
        <w:rFonts w:ascii="Arial" w:hAnsi="Arial" w:cs="Times New Roman" w:hint="default"/>
      </w:rPr>
    </w:lvl>
    <w:lvl w:ilvl="7" w:tplc="95A8B7CE">
      <w:start w:val="1"/>
      <w:numFmt w:val="bullet"/>
      <w:lvlText w:val="•"/>
      <w:lvlJc w:val="left"/>
      <w:pPr>
        <w:tabs>
          <w:tab w:val="num" w:pos="5760"/>
        </w:tabs>
        <w:ind w:left="5760" w:hanging="360"/>
      </w:pPr>
      <w:rPr>
        <w:rFonts w:ascii="Arial" w:hAnsi="Arial" w:cs="Times New Roman" w:hint="default"/>
      </w:rPr>
    </w:lvl>
    <w:lvl w:ilvl="8" w:tplc="FAC6387A">
      <w:start w:val="1"/>
      <w:numFmt w:val="bullet"/>
      <w:lvlText w:val="•"/>
      <w:lvlJc w:val="left"/>
      <w:pPr>
        <w:tabs>
          <w:tab w:val="num" w:pos="6480"/>
        </w:tabs>
        <w:ind w:left="6480" w:hanging="360"/>
      </w:pPr>
      <w:rPr>
        <w:rFonts w:ascii="Arial" w:hAnsi="Arial" w:cs="Times New Roman" w:hint="default"/>
      </w:rPr>
    </w:lvl>
  </w:abstractNum>
  <w:abstractNum w:abstractNumId="12">
    <w:nsid w:val="3DFF1A4F"/>
    <w:multiLevelType w:val="hybridMultilevel"/>
    <w:tmpl w:val="21B44B4C"/>
    <w:lvl w:ilvl="0" w:tplc="21D0A150">
      <w:start w:val="1"/>
      <w:numFmt w:val="lowerLetter"/>
      <w:lvlText w:val="%1."/>
      <w:lvlJc w:val="left"/>
      <w:pPr>
        <w:tabs>
          <w:tab w:val="num" w:pos="720"/>
        </w:tabs>
        <w:ind w:left="720" w:hanging="360"/>
      </w:pPr>
    </w:lvl>
    <w:lvl w:ilvl="1" w:tplc="0494FE0E" w:tentative="1">
      <w:start w:val="1"/>
      <w:numFmt w:val="lowerLetter"/>
      <w:lvlText w:val="%2."/>
      <w:lvlJc w:val="left"/>
      <w:pPr>
        <w:tabs>
          <w:tab w:val="num" w:pos="1440"/>
        </w:tabs>
        <w:ind w:left="1440" w:hanging="360"/>
      </w:pPr>
    </w:lvl>
    <w:lvl w:ilvl="2" w:tplc="F506A6BC" w:tentative="1">
      <w:start w:val="1"/>
      <w:numFmt w:val="lowerLetter"/>
      <w:lvlText w:val="%3."/>
      <w:lvlJc w:val="left"/>
      <w:pPr>
        <w:tabs>
          <w:tab w:val="num" w:pos="2160"/>
        </w:tabs>
        <w:ind w:left="2160" w:hanging="360"/>
      </w:pPr>
    </w:lvl>
    <w:lvl w:ilvl="3" w:tplc="1FBE013A" w:tentative="1">
      <w:start w:val="1"/>
      <w:numFmt w:val="lowerLetter"/>
      <w:lvlText w:val="%4."/>
      <w:lvlJc w:val="left"/>
      <w:pPr>
        <w:tabs>
          <w:tab w:val="num" w:pos="2880"/>
        </w:tabs>
        <w:ind w:left="2880" w:hanging="360"/>
      </w:pPr>
    </w:lvl>
    <w:lvl w:ilvl="4" w:tplc="4EC0709A" w:tentative="1">
      <w:start w:val="1"/>
      <w:numFmt w:val="lowerLetter"/>
      <w:lvlText w:val="%5."/>
      <w:lvlJc w:val="left"/>
      <w:pPr>
        <w:tabs>
          <w:tab w:val="num" w:pos="3600"/>
        </w:tabs>
        <w:ind w:left="3600" w:hanging="360"/>
      </w:pPr>
    </w:lvl>
    <w:lvl w:ilvl="5" w:tplc="673E29AC" w:tentative="1">
      <w:start w:val="1"/>
      <w:numFmt w:val="lowerLetter"/>
      <w:lvlText w:val="%6."/>
      <w:lvlJc w:val="left"/>
      <w:pPr>
        <w:tabs>
          <w:tab w:val="num" w:pos="4320"/>
        </w:tabs>
        <w:ind w:left="4320" w:hanging="360"/>
      </w:pPr>
    </w:lvl>
    <w:lvl w:ilvl="6" w:tplc="0B422816" w:tentative="1">
      <w:start w:val="1"/>
      <w:numFmt w:val="lowerLetter"/>
      <w:lvlText w:val="%7."/>
      <w:lvlJc w:val="left"/>
      <w:pPr>
        <w:tabs>
          <w:tab w:val="num" w:pos="5040"/>
        </w:tabs>
        <w:ind w:left="5040" w:hanging="360"/>
      </w:pPr>
    </w:lvl>
    <w:lvl w:ilvl="7" w:tplc="225A3762" w:tentative="1">
      <w:start w:val="1"/>
      <w:numFmt w:val="lowerLetter"/>
      <w:lvlText w:val="%8."/>
      <w:lvlJc w:val="left"/>
      <w:pPr>
        <w:tabs>
          <w:tab w:val="num" w:pos="5760"/>
        </w:tabs>
        <w:ind w:left="5760" w:hanging="360"/>
      </w:pPr>
    </w:lvl>
    <w:lvl w:ilvl="8" w:tplc="15969676" w:tentative="1">
      <w:start w:val="1"/>
      <w:numFmt w:val="lowerLetter"/>
      <w:lvlText w:val="%9."/>
      <w:lvlJc w:val="left"/>
      <w:pPr>
        <w:tabs>
          <w:tab w:val="num" w:pos="6480"/>
        </w:tabs>
        <w:ind w:left="6480" w:hanging="360"/>
      </w:pPr>
    </w:lvl>
  </w:abstractNum>
  <w:abstractNum w:abstractNumId="13">
    <w:nsid w:val="40872CE3"/>
    <w:multiLevelType w:val="multilevel"/>
    <w:tmpl w:val="EA2AE02E"/>
    <w:lvl w:ilvl="0">
      <w:start w:val="1"/>
      <w:numFmt w:val="decimal"/>
      <w:lvlText w:val="%1."/>
      <w:lvlJc w:val="left"/>
      <w:pPr>
        <w:ind w:left="360" w:hanging="360"/>
      </w:pPr>
      <w:rPr>
        <w:rFonts w:hint="default"/>
        <w:color w:val="634545" w:themeColor="accent6" w:themeShade="BF"/>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1965694"/>
    <w:multiLevelType w:val="multilevel"/>
    <w:tmpl w:val="59E65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AC176C"/>
    <w:multiLevelType w:val="hybridMultilevel"/>
    <w:tmpl w:val="7FDEE1A0"/>
    <w:lvl w:ilvl="0" w:tplc="7AD4A1E4">
      <w:start w:val="1"/>
      <w:numFmt w:val="bullet"/>
      <w:lvlText w:val=""/>
      <w:lvlJc w:val="left"/>
      <w:pPr>
        <w:tabs>
          <w:tab w:val="num" w:pos="720"/>
        </w:tabs>
        <w:ind w:left="720" w:hanging="360"/>
      </w:pPr>
      <w:rPr>
        <w:rFonts w:ascii="Wingdings" w:hAnsi="Wingdings" w:hint="default"/>
      </w:rPr>
    </w:lvl>
    <w:lvl w:ilvl="1" w:tplc="40F8BBCA">
      <w:start w:val="1"/>
      <w:numFmt w:val="bullet"/>
      <w:lvlText w:val=""/>
      <w:lvlJc w:val="left"/>
      <w:pPr>
        <w:tabs>
          <w:tab w:val="num" w:pos="1440"/>
        </w:tabs>
        <w:ind w:left="1440" w:hanging="360"/>
      </w:pPr>
      <w:rPr>
        <w:rFonts w:ascii="Wingdings" w:hAnsi="Wingdings" w:hint="default"/>
      </w:rPr>
    </w:lvl>
    <w:lvl w:ilvl="2" w:tplc="B166300C">
      <w:start w:val="1"/>
      <w:numFmt w:val="bullet"/>
      <w:lvlText w:val=""/>
      <w:lvlJc w:val="left"/>
      <w:pPr>
        <w:tabs>
          <w:tab w:val="num" w:pos="2160"/>
        </w:tabs>
        <w:ind w:left="2160" w:hanging="360"/>
      </w:pPr>
      <w:rPr>
        <w:rFonts w:ascii="Wingdings" w:hAnsi="Wingdings" w:hint="default"/>
      </w:rPr>
    </w:lvl>
    <w:lvl w:ilvl="3" w:tplc="A2E24A10">
      <w:start w:val="1"/>
      <w:numFmt w:val="bullet"/>
      <w:lvlText w:val=""/>
      <w:lvlJc w:val="left"/>
      <w:pPr>
        <w:tabs>
          <w:tab w:val="num" w:pos="2880"/>
        </w:tabs>
        <w:ind w:left="2880" w:hanging="360"/>
      </w:pPr>
      <w:rPr>
        <w:rFonts w:ascii="Wingdings" w:hAnsi="Wingdings" w:hint="default"/>
      </w:rPr>
    </w:lvl>
    <w:lvl w:ilvl="4" w:tplc="B3CC2742">
      <w:start w:val="1"/>
      <w:numFmt w:val="bullet"/>
      <w:lvlText w:val=""/>
      <w:lvlJc w:val="left"/>
      <w:pPr>
        <w:tabs>
          <w:tab w:val="num" w:pos="3600"/>
        </w:tabs>
        <w:ind w:left="3600" w:hanging="360"/>
      </w:pPr>
      <w:rPr>
        <w:rFonts w:ascii="Wingdings" w:hAnsi="Wingdings" w:hint="default"/>
      </w:rPr>
    </w:lvl>
    <w:lvl w:ilvl="5" w:tplc="96F608A8">
      <w:start w:val="1"/>
      <w:numFmt w:val="bullet"/>
      <w:lvlText w:val=""/>
      <w:lvlJc w:val="left"/>
      <w:pPr>
        <w:tabs>
          <w:tab w:val="num" w:pos="4320"/>
        </w:tabs>
        <w:ind w:left="4320" w:hanging="360"/>
      </w:pPr>
      <w:rPr>
        <w:rFonts w:ascii="Wingdings" w:hAnsi="Wingdings" w:hint="default"/>
      </w:rPr>
    </w:lvl>
    <w:lvl w:ilvl="6" w:tplc="569E7394">
      <w:start w:val="1"/>
      <w:numFmt w:val="bullet"/>
      <w:lvlText w:val=""/>
      <w:lvlJc w:val="left"/>
      <w:pPr>
        <w:tabs>
          <w:tab w:val="num" w:pos="5040"/>
        </w:tabs>
        <w:ind w:left="5040" w:hanging="360"/>
      </w:pPr>
      <w:rPr>
        <w:rFonts w:ascii="Wingdings" w:hAnsi="Wingdings" w:hint="default"/>
      </w:rPr>
    </w:lvl>
    <w:lvl w:ilvl="7" w:tplc="5EE83DF2">
      <w:start w:val="1"/>
      <w:numFmt w:val="bullet"/>
      <w:lvlText w:val=""/>
      <w:lvlJc w:val="left"/>
      <w:pPr>
        <w:tabs>
          <w:tab w:val="num" w:pos="5760"/>
        </w:tabs>
        <w:ind w:left="5760" w:hanging="360"/>
      </w:pPr>
      <w:rPr>
        <w:rFonts w:ascii="Wingdings" w:hAnsi="Wingdings" w:hint="default"/>
      </w:rPr>
    </w:lvl>
    <w:lvl w:ilvl="8" w:tplc="ED440812">
      <w:start w:val="1"/>
      <w:numFmt w:val="bullet"/>
      <w:lvlText w:val=""/>
      <w:lvlJc w:val="left"/>
      <w:pPr>
        <w:tabs>
          <w:tab w:val="num" w:pos="6480"/>
        </w:tabs>
        <w:ind w:left="6480" w:hanging="360"/>
      </w:pPr>
      <w:rPr>
        <w:rFonts w:ascii="Wingdings" w:hAnsi="Wingdings" w:hint="default"/>
      </w:rPr>
    </w:lvl>
  </w:abstractNum>
  <w:abstractNum w:abstractNumId="16">
    <w:nsid w:val="4F570B99"/>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16C6912"/>
    <w:multiLevelType w:val="hybridMultilevel"/>
    <w:tmpl w:val="706415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56E5480B"/>
    <w:multiLevelType w:val="hybridMultilevel"/>
    <w:tmpl w:val="155605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5AAF4150"/>
    <w:multiLevelType w:val="multilevel"/>
    <w:tmpl w:val="B20E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236D69"/>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E09499C"/>
    <w:multiLevelType w:val="hybridMultilevel"/>
    <w:tmpl w:val="54AA57A4"/>
    <w:lvl w:ilvl="0" w:tplc="C5029B04">
      <w:start w:val="1"/>
      <w:numFmt w:val="decimal"/>
      <w:lvlText w:val="%1."/>
      <w:lvlJc w:val="left"/>
      <w:pPr>
        <w:tabs>
          <w:tab w:val="num" w:pos="720"/>
        </w:tabs>
        <w:ind w:left="720" w:hanging="360"/>
      </w:pPr>
    </w:lvl>
    <w:lvl w:ilvl="1" w:tplc="956AA828">
      <w:start w:val="1"/>
      <w:numFmt w:val="decimal"/>
      <w:lvlText w:val="%2."/>
      <w:lvlJc w:val="left"/>
      <w:pPr>
        <w:tabs>
          <w:tab w:val="num" w:pos="1440"/>
        </w:tabs>
        <w:ind w:left="1440" w:hanging="360"/>
      </w:pPr>
    </w:lvl>
    <w:lvl w:ilvl="2" w:tplc="8FBC9198">
      <w:start w:val="1"/>
      <w:numFmt w:val="decimal"/>
      <w:lvlText w:val="%3."/>
      <w:lvlJc w:val="left"/>
      <w:pPr>
        <w:tabs>
          <w:tab w:val="num" w:pos="2160"/>
        </w:tabs>
        <w:ind w:left="2160" w:hanging="360"/>
      </w:pPr>
    </w:lvl>
    <w:lvl w:ilvl="3" w:tplc="EB42C47E">
      <w:start w:val="1"/>
      <w:numFmt w:val="decimal"/>
      <w:lvlText w:val="%4."/>
      <w:lvlJc w:val="left"/>
      <w:pPr>
        <w:tabs>
          <w:tab w:val="num" w:pos="2880"/>
        </w:tabs>
        <w:ind w:left="2880" w:hanging="360"/>
      </w:pPr>
    </w:lvl>
    <w:lvl w:ilvl="4" w:tplc="A76A0856">
      <w:start w:val="1"/>
      <w:numFmt w:val="decimal"/>
      <w:lvlText w:val="%5."/>
      <w:lvlJc w:val="left"/>
      <w:pPr>
        <w:tabs>
          <w:tab w:val="num" w:pos="3600"/>
        </w:tabs>
        <w:ind w:left="3600" w:hanging="360"/>
      </w:pPr>
    </w:lvl>
    <w:lvl w:ilvl="5" w:tplc="07747174">
      <w:start w:val="1"/>
      <w:numFmt w:val="decimal"/>
      <w:lvlText w:val="%6."/>
      <w:lvlJc w:val="left"/>
      <w:pPr>
        <w:tabs>
          <w:tab w:val="num" w:pos="4320"/>
        </w:tabs>
        <w:ind w:left="4320" w:hanging="360"/>
      </w:pPr>
    </w:lvl>
    <w:lvl w:ilvl="6" w:tplc="0EBC85DE">
      <w:start w:val="1"/>
      <w:numFmt w:val="decimal"/>
      <w:lvlText w:val="%7."/>
      <w:lvlJc w:val="left"/>
      <w:pPr>
        <w:tabs>
          <w:tab w:val="num" w:pos="5040"/>
        </w:tabs>
        <w:ind w:left="5040" w:hanging="360"/>
      </w:pPr>
    </w:lvl>
    <w:lvl w:ilvl="7" w:tplc="276E07FC">
      <w:start w:val="1"/>
      <w:numFmt w:val="decimal"/>
      <w:lvlText w:val="%8."/>
      <w:lvlJc w:val="left"/>
      <w:pPr>
        <w:tabs>
          <w:tab w:val="num" w:pos="5760"/>
        </w:tabs>
        <w:ind w:left="5760" w:hanging="360"/>
      </w:pPr>
    </w:lvl>
    <w:lvl w:ilvl="8" w:tplc="C542F15A">
      <w:start w:val="1"/>
      <w:numFmt w:val="decimal"/>
      <w:lvlText w:val="%9."/>
      <w:lvlJc w:val="left"/>
      <w:pPr>
        <w:tabs>
          <w:tab w:val="num" w:pos="6480"/>
        </w:tabs>
        <w:ind w:left="6480" w:hanging="360"/>
      </w:pPr>
    </w:lvl>
  </w:abstractNum>
  <w:abstractNum w:abstractNumId="22">
    <w:nsid w:val="63EF0BFC"/>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52F116D"/>
    <w:multiLevelType w:val="hybridMultilevel"/>
    <w:tmpl w:val="65C497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8A72DEE"/>
    <w:multiLevelType w:val="hybridMultilevel"/>
    <w:tmpl w:val="CF5EE0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B1D7634"/>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674B78"/>
    <w:multiLevelType w:val="hybridMultilevel"/>
    <w:tmpl w:val="F1EED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D73A77"/>
    <w:multiLevelType w:val="hybridMultilevel"/>
    <w:tmpl w:val="372E3C52"/>
    <w:lvl w:ilvl="0" w:tplc="E918CCD2">
      <w:start w:val="5"/>
      <w:numFmt w:val="decimal"/>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num w:numId="1">
    <w:abstractNumId w:val="13"/>
  </w:num>
  <w:num w:numId="2">
    <w:abstractNumId w:val="8"/>
  </w:num>
  <w:num w:numId="3">
    <w:abstractNumId w:val="4"/>
  </w:num>
  <w:num w:numId="4">
    <w:abstractNumId w:val="24"/>
  </w:num>
  <w:num w:numId="5">
    <w:abstractNumId w:val="18"/>
  </w:num>
  <w:num w:numId="6">
    <w:abstractNumId w:val="17"/>
  </w:num>
  <w:num w:numId="7">
    <w:abstractNumId w:val="23"/>
  </w:num>
  <w:num w:numId="8">
    <w:abstractNumId w:val="6"/>
  </w:num>
  <w:num w:numId="9">
    <w:abstractNumId w:val="26"/>
  </w:num>
  <w:num w:numId="10">
    <w:abstractNumId w:val="12"/>
  </w:num>
  <w:num w:numId="11">
    <w:abstractNumId w:val="1"/>
  </w:num>
  <w:num w:numId="12">
    <w:abstractNumId w:val="20"/>
  </w:num>
  <w:num w:numId="13">
    <w:abstractNumId w:val="3"/>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7"/>
  </w:num>
  <w:num w:numId="23">
    <w:abstractNumId w:val="15"/>
  </w:num>
  <w:num w:numId="24">
    <w:abstractNumId w:val="5"/>
  </w:num>
  <w:num w:numId="25">
    <w:abstractNumId w:val="25"/>
  </w:num>
  <w:num w:numId="26">
    <w:abstractNumId w:val="27"/>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A3"/>
    <w:rsid w:val="00003426"/>
    <w:rsid w:val="000057BF"/>
    <w:rsid w:val="0001167D"/>
    <w:rsid w:val="00012F36"/>
    <w:rsid w:val="00021137"/>
    <w:rsid w:val="000473AA"/>
    <w:rsid w:val="00055F68"/>
    <w:rsid w:val="00060630"/>
    <w:rsid w:val="000801F4"/>
    <w:rsid w:val="00086201"/>
    <w:rsid w:val="00087089"/>
    <w:rsid w:val="00093D78"/>
    <w:rsid w:val="000B0ADA"/>
    <w:rsid w:val="000C4954"/>
    <w:rsid w:val="000D7DB9"/>
    <w:rsid w:val="000E1401"/>
    <w:rsid w:val="000E406A"/>
    <w:rsid w:val="000E5978"/>
    <w:rsid w:val="000F3DB3"/>
    <w:rsid w:val="001009D4"/>
    <w:rsid w:val="0010331B"/>
    <w:rsid w:val="00103E6F"/>
    <w:rsid w:val="0011707B"/>
    <w:rsid w:val="001228F0"/>
    <w:rsid w:val="001306F4"/>
    <w:rsid w:val="00161D0C"/>
    <w:rsid w:val="00172BA8"/>
    <w:rsid w:val="00184BC6"/>
    <w:rsid w:val="00191B71"/>
    <w:rsid w:val="001A057F"/>
    <w:rsid w:val="001B1AD1"/>
    <w:rsid w:val="001C20A1"/>
    <w:rsid w:val="001D020F"/>
    <w:rsid w:val="001D1EE9"/>
    <w:rsid w:val="001D2E87"/>
    <w:rsid w:val="001E0BF3"/>
    <w:rsid w:val="001E3CA3"/>
    <w:rsid w:val="001E6A58"/>
    <w:rsid w:val="001E7DA4"/>
    <w:rsid w:val="001F6D69"/>
    <w:rsid w:val="00211021"/>
    <w:rsid w:val="002120D6"/>
    <w:rsid w:val="00215997"/>
    <w:rsid w:val="0023245B"/>
    <w:rsid w:val="0023343C"/>
    <w:rsid w:val="00245589"/>
    <w:rsid w:val="00247C13"/>
    <w:rsid w:val="00250128"/>
    <w:rsid w:val="00251291"/>
    <w:rsid w:val="00271545"/>
    <w:rsid w:val="00271E5F"/>
    <w:rsid w:val="00272AC8"/>
    <w:rsid w:val="00272AF5"/>
    <w:rsid w:val="0028419A"/>
    <w:rsid w:val="002852ED"/>
    <w:rsid w:val="00297AF8"/>
    <w:rsid w:val="002B68AD"/>
    <w:rsid w:val="002E0F74"/>
    <w:rsid w:val="002E28B2"/>
    <w:rsid w:val="002F0088"/>
    <w:rsid w:val="002F3631"/>
    <w:rsid w:val="003069B0"/>
    <w:rsid w:val="00321D52"/>
    <w:rsid w:val="00326633"/>
    <w:rsid w:val="00341E8F"/>
    <w:rsid w:val="00342F84"/>
    <w:rsid w:val="00374FB1"/>
    <w:rsid w:val="003764B7"/>
    <w:rsid w:val="00393B4F"/>
    <w:rsid w:val="003A05A2"/>
    <w:rsid w:val="003C2E95"/>
    <w:rsid w:val="003C420C"/>
    <w:rsid w:val="003E516D"/>
    <w:rsid w:val="003F7082"/>
    <w:rsid w:val="00401A2A"/>
    <w:rsid w:val="00415D2D"/>
    <w:rsid w:val="004160A7"/>
    <w:rsid w:val="0041650F"/>
    <w:rsid w:val="004178C9"/>
    <w:rsid w:val="00423252"/>
    <w:rsid w:val="00426D56"/>
    <w:rsid w:val="004276F4"/>
    <w:rsid w:val="00435554"/>
    <w:rsid w:val="00440EB8"/>
    <w:rsid w:val="00443280"/>
    <w:rsid w:val="004558DA"/>
    <w:rsid w:val="00456EBD"/>
    <w:rsid w:val="00471134"/>
    <w:rsid w:val="00471CAC"/>
    <w:rsid w:val="004920C8"/>
    <w:rsid w:val="004B0720"/>
    <w:rsid w:val="004B382E"/>
    <w:rsid w:val="004B6B43"/>
    <w:rsid w:val="004E6750"/>
    <w:rsid w:val="004E77E9"/>
    <w:rsid w:val="005015DD"/>
    <w:rsid w:val="00517C8D"/>
    <w:rsid w:val="00526BD0"/>
    <w:rsid w:val="0053454D"/>
    <w:rsid w:val="00547262"/>
    <w:rsid w:val="00563C43"/>
    <w:rsid w:val="00575E35"/>
    <w:rsid w:val="005947DD"/>
    <w:rsid w:val="005A1623"/>
    <w:rsid w:val="005A5F75"/>
    <w:rsid w:val="005B41FE"/>
    <w:rsid w:val="005C5057"/>
    <w:rsid w:val="005D1467"/>
    <w:rsid w:val="005E4A5D"/>
    <w:rsid w:val="005F02A6"/>
    <w:rsid w:val="005F22F9"/>
    <w:rsid w:val="00614A7E"/>
    <w:rsid w:val="00624EA7"/>
    <w:rsid w:val="00641F4E"/>
    <w:rsid w:val="00644AB3"/>
    <w:rsid w:val="00652FF0"/>
    <w:rsid w:val="00660C76"/>
    <w:rsid w:val="006720A3"/>
    <w:rsid w:val="00677752"/>
    <w:rsid w:val="0067797C"/>
    <w:rsid w:val="006819DA"/>
    <w:rsid w:val="00683EBF"/>
    <w:rsid w:val="0069643E"/>
    <w:rsid w:val="006A1D6A"/>
    <w:rsid w:val="006B4F17"/>
    <w:rsid w:val="006C6087"/>
    <w:rsid w:val="006D2F63"/>
    <w:rsid w:val="006E2CF1"/>
    <w:rsid w:val="006F3854"/>
    <w:rsid w:val="00710E7F"/>
    <w:rsid w:val="00730B97"/>
    <w:rsid w:val="007376CF"/>
    <w:rsid w:val="00755B8C"/>
    <w:rsid w:val="0076078A"/>
    <w:rsid w:val="00764261"/>
    <w:rsid w:val="00786FB7"/>
    <w:rsid w:val="00787042"/>
    <w:rsid w:val="00791998"/>
    <w:rsid w:val="00797DC4"/>
    <w:rsid w:val="007A2F06"/>
    <w:rsid w:val="007D356F"/>
    <w:rsid w:val="007E107B"/>
    <w:rsid w:val="00802CED"/>
    <w:rsid w:val="00805C7F"/>
    <w:rsid w:val="00840D97"/>
    <w:rsid w:val="00841086"/>
    <w:rsid w:val="00842511"/>
    <w:rsid w:val="0085142D"/>
    <w:rsid w:val="00852423"/>
    <w:rsid w:val="00853873"/>
    <w:rsid w:val="00857FF9"/>
    <w:rsid w:val="008632C6"/>
    <w:rsid w:val="00865374"/>
    <w:rsid w:val="00871246"/>
    <w:rsid w:val="00873761"/>
    <w:rsid w:val="00891191"/>
    <w:rsid w:val="00892B8F"/>
    <w:rsid w:val="008948A3"/>
    <w:rsid w:val="008A6076"/>
    <w:rsid w:val="008A6338"/>
    <w:rsid w:val="008C2E60"/>
    <w:rsid w:val="008D4421"/>
    <w:rsid w:val="008D6183"/>
    <w:rsid w:val="008F38D0"/>
    <w:rsid w:val="00913DCA"/>
    <w:rsid w:val="0091551C"/>
    <w:rsid w:val="0092102C"/>
    <w:rsid w:val="00925B5D"/>
    <w:rsid w:val="00934E6D"/>
    <w:rsid w:val="00940C5B"/>
    <w:rsid w:val="009573B9"/>
    <w:rsid w:val="00962BC0"/>
    <w:rsid w:val="009737FF"/>
    <w:rsid w:val="00992748"/>
    <w:rsid w:val="009A470B"/>
    <w:rsid w:val="009B5CEC"/>
    <w:rsid w:val="009D090C"/>
    <w:rsid w:val="009D387C"/>
    <w:rsid w:val="009E3238"/>
    <w:rsid w:val="009E3417"/>
    <w:rsid w:val="009F1710"/>
    <w:rsid w:val="009F46AC"/>
    <w:rsid w:val="00A0470D"/>
    <w:rsid w:val="00A33F9C"/>
    <w:rsid w:val="00A429B9"/>
    <w:rsid w:val="00A57233"/>
    <w:rsid w:val="00A6568D"/>
    <w:rsid w:val="00A949F2"/>
    <w:rsid w:val="00A95965"/>
    <w:rsid w:val="00AA4E51"/>
    <w:rsid w:val="00AC71F4"/>
    <w:rsid w:val="00AD668E"/>
    <w:rsid w:val="00AF4AFC"/>
    <w:rsid w:val="00B10D14"/>
    <w:rsid w:val="00B15E94"/>
    <w:rsid w:val="00B22A43"/>
    <w:rsid w:val="00B30DD0"/>
    <w:rsid w:val="00B46637"/>
    <w:rsid w:val="00B50073"/>
    <w:rsid w:val="00B54669"/>
    <w:rsid w:val="00B60C93"/>
    <w:rsid w:val="00B735A3"/>
    <w:rsid w:val="00B73DB4"/>
    <w:rsid w:val="00B86913"/>
    <w:rsid w:val="00BC36E0"/>
    <w:rsid w:val="00BD3EB6"/>
    <w:rsid w:val="00BD4878"/>
    <w:rsid w:val="00BD55F4"/>
    <w:rsid w:val="00BE3433"/>
    <w:rsid w:val="00BE4913"/>
    <w:rsid w:val="00BE66FE"/>
    <w:rsid w:val="00C002AD"/>
    <w:rsid w:val="00C0283E"/>
    <w:rsid w:val="00C04345"/>
    <w:rsid w:val="00C05022"/>
    <w:rsid w:val="00C20ED9"/>
    <w:rsid w:val="00C322A1"/>
    <w:rsid w:val="00C4309A"/>
    <w:rsid w:val="00C45494"/>
    <w:rsid w:val="00C53117"/>
    <w:rsid w:val="00C611FE"/>
    <w:rsid w:val="00C64BE2"/>
    <w:rsid w:val="00C64E59"/>
    <w:rsid w:val="00C658B2"/>
    <w:rsid w:val="00C66BEA"/>
    <w:rsid w:val="00C74BF7"/>
    <w:rsid w:val="00C902AD"/>
    <w:rsid w:val="00C92A08"/>
    <w:rsid w:val="00CA07C4"/>
    <w:rsid w:val="00CA573D"/>
    <w:rsid w:val="00CB3154"/>
    <w:rsid w:val="00CB6D1E"/>
    <w:rsid w:val="00CC157B"/>
    <w:rsid w:val="00CC2238"/>
    <w:rsid w:val="00CD2A96"/>
    <w:rsid w:val="00CD6158"/>
    <w:rsid w:val="00CE3839"/>
    <w:rsid w:val="00CE7AAE"/>
    <w:rsid w:val="00CF0FF6"/>
    <w:rsid w:val="00D253EB"/>
    <w:rsid w:val="00D339C2"/>
    <w:rsid w:val="00D36C0D"/>
    <w:rsid w:val="00D405D6"/>
    <w:rsid w:val="00D43CB1"/>
    <w:rsid w:val="00D44F0D"/>
    <w:rsid w:val="00D859E5"/>
    <w:rsid w:val="00D86618"/>
    <w:rsid w:val="00D86748"/>
    <w:rsid w:val="00D944A8"/>
    <w:rsid w:val="00D957C5"/>
    <w:rsid w:val="00DA5F43"/>
    <w:rsid w:val="00DD71E2"/>
    <w:rsid w:val="00DD74E2"/>
    <w:rsid w:val="00DE12EA"/>
    <w:rsid w:val="00DE4CA9"/>
    <w:rsid w:val="00DF2B40"/>
    <w:rsid w:val="00E00243"/>
    <w:rsid w:val="00E059BD"/>
    <w:rsid w:val="00E228E1"/>
    <w:rsid w:val="00E312CB"/>
    <w:rsid w:val="00E41B3C"/>
    <w:rsid w:val="00E42DA0"/>
    <w:rsid w:val="00E62D1B"/>
    <w:rsid w:val="00E6394A"/>
    <w:rsid w:val="00E6580A"/>
    <w:rsid w:val="00E74A5F"/>
    <w:rsid w:val="00E74B96"/>
    <w:rsid w:val="00E91417"/>
    <w:rsid w:val="00E9531F"/>
    <w:rsid w:val="00EA66CB"/>
    <w:rsid w:val="00EA7B18"/>
    <w:rsid w:val="00EB31D2"/>
    <w:rsid w:val="00EC09ED"/>
    <w:rsid w:val="00EC10CA"/>
    <w:rsid w:val="00EC5B3C"/>
    <w:rsid w:val="00ED6C01"/>
    <w:rsid w:val="00EE1645"/>
    <w:rsid w:val="00EF7A74"/>
    <w:rsid w:val="00F12FA3"/>
    <w:rsid w:val="00F13FEA"/>
    <w:rsid w:val="00F23B7C"/>
    <w:rsid w:val="00F26940"/>
    <w:rsid w:val="00F26C9E"/>
    <w:rsid w:val="00F3163C"/>
    <w:rsid w:val="00F369E7"/>
    <w:rsid w:val="00F407D2"/>
    <w:rsid w:val="00F411DB"/>
    <w:rsid w:val="00F567AA"/>
    <w:rsid w:val="00F60971"/>
    <w:rsid w:val="00FA1D03"/>
    <w:rsid w:val="00FA6FC8"/>
    <w:rsid w:val="00FB2929"/>
    <w:rsid w:val="00FC2743"/>
    <w:rsid w:val="00FC73AE"/>
    <w:rsid w:val="00FD0AF8"/>
    <w:rsid w:val="00FD3D49"/>
    <w:rsid w:val="00FE343A"/>
    <w:rsid w:val="00FE4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9C"/>
  </w:style>
  <w:style w:type="paragraph" w:styleId="Ttulo3">
    <w:name w:val="heading 3"/>
    <w:basedOn w:val="Normal"/>
    <w:next w:val="Normal"/>
    <w:link w:val="Ttulo3Car"/>
    <w:semiHidden/>
    <w:unhideWhenUsed/>
    <w:qFormat/>
    <w:rsid w:val="00321D52"/>
    <w:pPr>
      <w:keepNext/>
      <w:spacing w:after="0" w:line="240" w:lineRule="auto"/>
      <w:outlineLvl w:val="2"/>
    </w:pPr>
    <w:rPr>
      <w:rFonts w:ascii="Arial" w:eastAsia="Times New Roman" w:hAnsi="Arial" w:cs="Arial"/>
      <w:b/>
      <w:bCs/>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CA3"/>
    <w:pPr>
      <w:ind w:left="720"/>
      <w:contextualSpacing/>
    </w:pPr>
  </w:style>
  <w:style w:type="table" w:styleId="Tablaconcuadrcula">
    <w:name w:val="Table Grid"/>
    <w:basedOn w:val="Tablanormal"/>
    <w:uiPriority w:val="39"/>
    <w:rsid w:val="0000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1D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730B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0B97"/>
    <w:rPr>
      <w:sz w:val="20"/>
      <w:szCs w:val="20"/>
    </w:rPr>
  </w:style>
  <w:style w:type="character" w:styleId="Refdenotaalpie">
    <w:name w:val="footnote reference"/>
    <w:basedOn w:val="Fuentedeprrafopredeter"/>
    <w:uiPriority w:val="99"/>
    <w:semiHidden/>
    <w:unhideWhenUsed/>
    <w:rsid w:val="00730B97"/>
    <w:rPr>
      <w:vertAlign w:val="superscript"/>
    </w:rPr>
  </w:style>
  <w:style w:type="paragraph" w:styleId="Encabezado">
    <w:name w:val="header"/>
    <w:basedOn w:val="Normal"/>
    <w:link w:val="EncabezadoCar"/>
    <w:uiPriority w:val="99"/>
    <w:unhideWhenUsed/>
    <w:rsid w:val="000F3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DB3"/>
  </w:style>
  <w:style w:type="paragraph" w:styleId="Piedepgina">
    <w:name w:val="footer"/>
    <w:basedOn w:val="Normal"/>
    <w:link w:val="PiedepginaCar"/>
    <w:uiPriority w:val="99"/>
    <w:unhideWhenUsed/>
    <w:rsid w:val="000F3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DB3"/>
  </w:style>
  <w:style w:type="paragraph" w:styleId="Textodeglobo">
    <w:name w:val="Balloon Text"/>
    <w:basedOn w:val="Normal"/>
    <w:link w:val="TextodegloboCar"/>
    <w:uiPriority w:val="99"/>
    <w:semiHidden/>
    <w:unhideWhenUsed/>
    <w:rsid w:val="005D14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467"/>
    <w:rPr>
      <w:rFonts w:ascii="Tahoma" w:hAnsi="Tahoma" w:cs="Tahoma"/>
      <w:sz w:val="16"/>
      <w:szCs w:val="16"/>
    </w:rPr>
  </w:style>
  <w:style w:type="paragraph" w:styleId="Sinespaciado">
    <w:name w:val="No Spacing"/>
    <w:uiPriority w:val="1"/>
    <w:qFormat/>
    <w:rsid w:val="0001167D"/>
    <w:pPr>
      <w:spacing w:after="0" w:line="240" w:lineRule="auto"/>
    </w:pPr>
    <w:rPr>
      <w:rFonts w:ascii="Tahoma" w:eastAsia="Times New Roman" w:hAnsi="Tahoma" w:cs="Times New Roman"/>
      <w:sz w:val="24"/>
      <w:szCs w:val="20"/>
      <w:lang w:val="es-CO" w:eastAsia="es-ES"/>
    </w:rPr>
  </w:style>
  <w:style w:type="character" w:customStyle="1" w:styleId="Ttulo3Car">
    <w:name w:val="Título 3 Car"/>
    <w:basedOn w:val="Fuentedeprrafopredeter"/>
    <w:link w:val="Ttulo3"/>
    <w:semiHidden/>
    <w:rsid w:val="00321D52"/>
    <w:rPr>
      <w:rFonts w:ascii="Arial" w:eastAsia="Times New Roman" w:hAnsi="Arial" w:cs="Arial"/>
      <w:b/>
      <w:bCs/>
      <w:sz w:val="20"/>
      <w:szCs w:val="20"/>
      <w:lang w:val="es-CO" w:eastAsia="es-ES"/>
    </w:rPr>
  </w:style>
  <w:style w:type="character" w:customStyle="1" w:styleId="ListLabel8">
    <w:name w:val="ListLabel 8"/>
    <w:qFormat/>
    <w:rsid w:val="00F567AA"/>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9C"/>
  </w:style>
  <w:style w:type="paragraph" w:styleId="Ttulo3">
    <w:name w:val="heading 3"/>
    <w:basedOn w:val="Normal"/>
    <w:next w:val="Normal"/>
    <w:link w:val="Ttulo3Car"/>
    <w:semiHidden/>
    <w:unhideWhenUsed/>
    <w:qFormat/>
    <w:rsid w:val="00321D52"/>
    <w:pPr>
      <w:keepNext/>
      <w:spacing w:after="0" w:line="240" w:lineRule="auto"/>
      <w:outlineLvl w:val="2"/>
    </w:pPr>
    <w:rPr>
      <w:rFonts w:ascii="Arial" w:eastAsia="Times New Roman" w:hAnsi="Arial" w:cs="Arial"/>
      <w:b/>
      <w:bCs/>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CA3"/>
    <w:pPr>
      <w:ind w:left="720"/>
      <w:contextualSpacing/>
    </w:pPr>
  </w:style>
  <w:style w:type="table" w:styleId="Tablaconcuadrcula">
    <w:name w:val="Table Grid"/>
    <w:basedOn w:val="Tablanormal"/>
    <w:uiPriority w:val="39"/>
    <w:rsid w:val="0000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1D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730B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0B97"/>
    <w:rPr>
      <w:sz w:val="20"/>
      <w:szCs w:val="20"/>
    </w:rPr>
  </w:style>
  <w:style w:type="character" w:styleId="Refdenotaalpie">
    <w:name w:val="footnote reference"/>
    <w:basedOn w:val="Fuentedeprrafopredeter"/>
    <w:uiPriority w:val="99"/>
    <w:semiHidden/>
    <w:unhideWhenUsed/>
    <w:rsid w:val="00730B97"/>
    <w:rPr>
      <w:vertAlign w:val="superscript"/>
    </w:rPr>
  </w:style>
  <w:style w:type="paragraph" w:styleId="Encabezado">
    <w:name w:val="header"/>
    <w:basedOn w:val="Normal"/>
    <w:link w:val="EncabezadoCar"/>
    <w:uiPriority w:val="99"/>
    <w:unhideWhenUsed/>
    <w:rsid w:val="000F3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DB3"/>
  </w:style>
  <w:style w:type="paragraph" w:styleId="Piedepgina">
    <w:name w:val="footer"/>
    <w:basedOn w:val="Normal"/>
    <w:link w:val="PiedepginaCar"/>
    <w:uiPriority w:val="99"/>
    <w:unhideWhenUsed/>
    <w:rsid w:val="000F3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DB3"/>
  </w:style>
  <w:style w:type="paragraph" w:styleId="Textodeglobo">
    <w:name w:val="Balloon Text"/>
    <w:basedOn w:val="Normal"/>
    <w:link w:val="TextodegloboCar"/>
    <w:uiPriority w:val="99"/>
    <w:semiHidden/>
    <w:unhideWhenUsed/>
    <w:rsid w:val="005D14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467"/>
    <w:rPr>
      <w:rFonts w:ascii="Tahoma" w:hAnsi="Tahoma" w:cs="Tahoma"/>
      <w:sz w:val="16"/>
      <w:szCs w:val="16"/>
    </w:rPr>
  </w:style>
  <w:style w:type="paragraph" w:styleId="Sinespaciado">
    <w:name w:val="No Spacing"/>
    <w:uiPriority w:val="1"/>
    <w:qFormat/>
    <w:rsid w:val="0001167D"/>
    <w:pPr>
      <w:spacing w:after="0" w:line="240" w:lineRule="auto"/>
    </w:pPr>
    <w:rPr>
      <w:rFonts w:ascii="Tahoma" w:eastAsia="Times New Roman" w:hAnsi="Tahoma" w:cs="Times New Roman"/>
      <w:sz w:val="24"/>
      <w:szCs w:val="20"/>
      <w:lang w:val="es-CO" w:eastAsia="es-ES"/>
    </w:rPr>
  </w:style>
  <w:style w:type="character" w:customStyle="1" w:styleId="Ttulo3Car">
    <w:name w:val="Título 3 Car"/>
    <w:basedOn w:val="Fuentedeprrafopredeter"/>
    <w:link w:val="Ttulo3"/>
    <w:semiHidden/>
    <w:rsid w:val="00321D52"/>
    <w:rPr>
      <w:rFonts w:ascii="Arial" w:eastAsia="Times New Roman" w:hAnsi="Arial" w:cs="Arial"/>
      <w:b/>
      <w:bCs/>
      <w:sz w:val="20"/>
      <w:szCs w:val="20"/>
      <w:lang w:val="es-CO" w:eastAsia="es-ES"/>
    </w:rPr>
  </w:style>
  <w:style w:type="character" w:customStyle="1" w:styleId="ListLabel8">
    <w:name w:val="ListLabel 8"/>
    <w:qFormat/>
    <w:rsid w:val="00F567AA"/>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8742">
      <w:bodyDiv w:val="1"/>
      <w:marLeft w:val="0"/>
      <w:marRight w:val="0"/>
      <w:marTop w:val="0"/>
      <w:marBottom w:val="0"/>
      <w:divBdr>
        <w:top w:val="none" w:sz="0" w:space="0" w:color="auto"/>
        <w:left w:val="none" w:sz="0" w:space="0" w:color="auto"/>
        <w:bottom w:val="none" w:sz="0" w:space="0" w:color="auto"/>
        <w:right w:val="none" w:sz="0" w:space="0" w:color="auto"/>
      </w:divBdr>
    </w:div>
    <w:div w:id="163591246">
      <w:bodyDiv w:val="1"/>
      <w:marLeft w:val="0"/>
      <w:marRight w:val="0"/>
      <w:marTop w:val="0"/>
      <w:marBottom w:val="0"/>
      <w:divBdr>
        <w:top w:val="none" w:sz="0" w:space="0" w:color="auto"/>
        <w:left w:val="none" w:sz="0" w:space="0" w:color="auto"/>
        <w:bottom w:val="none" w:sz="0" w:space="0" w:color="auto"/>
        <w:right w:val="none" w:sz="0" w:space="0" w:color="auto"/>
      </w:divBdr>
    </w:div>
    <w:div w:id="297028115">
      <w:bodyDiv w:val="1"/>
      <w:marLeft w:val="0"/>
      <w:marRight w:val="0"/>
      <w:marTop w:val="0"/>
      <w:marBottom w:val="0"/>
      <w:divBdr>
        <w:top w:val="none" w:sz="0" w:space="0" w:color="auto"/>
        <w:left w:val="none" w:sz="0" w:space="0" w:color="auto"/>
        <w:bottom w:val="none" w:sz="0" w:space="0" w:color="auto"/>
        <w:right w:val="none" w:sz="0" w:space="0" w:color="auto"/>
      </w:divBdr>
    </w:div>
    <w:div w:id="342631381">
      <w:bodyDiv w:val="1"/>
      <w:marLeft w:val="0"/>
      <w:marRight w:val="0"/>
      <w:marTop w:val="0"/>
      <w:marBottom w:val="0"/>
      <w:divBdr>
        <w:top w:val="none" w:sz="0" w:space="0" w:color="auto"/>
        <w:left w:val="none" w:sz="0" w:space="0" w:color="auto"/>
        <w:bottom w:val="none" w:sz="0" w:space="0" w:color="auto"/>
        <w:right w:val="none" w:sz="0" w:space="0" w:color="auto"/>
      </w:divBdr>
    </w:div>
    <w:div w:id="426584190">
      <w:bodyDiv w:val="1"/>
      <w:marLeft w:val="0"/>
      <w:marRight w:val="0"/>
      <w:marTop w:val="0"/>
      <w:marBottom w:val="0"/>
      <w:divBdr>
        <w:top w:val="none" w:sz="0" w:space="0" w:color="auto"/>
        <w:left w:val="none" w:sz="0" w:space="0" w:color="auto"/>
        <w:bottom w:val="none" w:sz="0" w:space="0" w:color="auto"/>
        <w:right w:val="none" w:sz="0" w:space="0" w:color="auto"/>
      </w:divBdr>
    </w:div>
    <w:div w:id="464544562">
      <w:bodyDiv w:val="1"/>
      <w:marLeft w:val="0"/>
      <w:marRight w:val="0"/>
      <w:marTop w:val="0"/>
      <w:marBottom w:val="0"/>
      <w:divBdr>
        <w:top w:val="none" w:sz="0" w:space="0" w:color="auto"/>
        <w:left w:val="none" w:sz="0" w:space="0" w:color="auto"/>
        <w:bottom w:val="none" w:sz="0" w:space="0" w:color="auto"/>
        <w:right w:val="none" w:sz="0" w:space="0" w:color="auto"/>
      </w:divBdr>
    </w:div>
    <w:div w:id="494994011">
      <w:bodyDiv w:val="1"/>
      <w:marLeft w:val="0"/>
      <w:marRight w:val="0"/>
      <w:marTop w:val="0"/>
      <w:marBottom w:val="0"/>
      <w:divBdr>
        <w:top w:val="none" w:sz="0" w:space="0" w:color="auto"/>
        <w:left w:val="none" w:sz="0" w:space="0" w:color="auto"/>
        <w:bottom w:val="none" w:sz="0" w:space="0" w:color="auto"/>
        <w:right w:val="none" w:sz="0" w:space="0" w:color="auto"/>
      </w:divBdr>
    </w:div>
    <w:div w:id="499270285">
      <w:bodyDiv w:val="1"/>
      <w:marLeft w:val="0"/>
      <w:marRight w:val="0"/>
      <w:marTop w:val="0"/>
      <w:marBottom w:val="0"/>
      <w:divBdr>
        <w:top w:val="none" w:sz="0" w:space="0" w:color="auto"/>
        <w:left w:val="none" w:sz="0" w:space="0" w:color="auto"/>
        <w:bottom w:val="none" w:sz="0" w:space="0" w:color="auto"/>
        <w:right w:val="none" w:sz="0" w:space="0" w:color="auto"/>
      </w:divBdr>
    </w:div>
    <w:div w:id="594553379">
      <w:bodyDiv w:val="1"/>
      <w:marLeft w:val="0"/>
      <w:marRight w:val="0"/>
      <w:marTop w:val="0"/>
      <w:marBottom w:val="0"/>
      <w:divBdr>
        <w:top w:val="none" w:sz="0" w:space="0" w:color="auto"/>
        <w:left w:val="none" w:sz="0" w:space="0" w:color="auto"/>
        <w:bottom w:val="none" w:sz="0" w:space="0" w:color="auto"/>
        <w:right w:val="none" w:sz="0" w:space="0" w:color="auto"/>
      </w:divBdr>
    </w:div>
    <w:div w:id="795221852">
      <w:bodyDiv w:val="1"/>
      <w:marLeft w:val="0"/>
      <w:marRight w:val="0"/>
      <w:marTop w:val="0"/>
      <w:marBottom w:val="0"/>
      <w:divBdr>
        <w:top w:val="none" w:sz="0" w:space="0" w:color="auto"/>
        <w:left w:val="none" w:sz="0" w:space="0" w:color="auto"/>
        <w:bottom w:val="none" w:sz="0" w:space="0" w:color="auto"/>
        <w:right w:val="none" w:sz="0" w:space="0" w:color="auto"/>
      </w:divBdr>
    </w:div>
    <w:div w:id="945120700">
      <w:bodyDiv w:val="1"/>
      <w:marLeft w:val="0"/>
      <w:marRight w:val="0"/>
      <w:marTop w:val="0"/>
      <w:marBottom w:val="0"/>
      <w:divBdr>
        <w:top w:val="none" w:sz="0" w:space="0" w:color="auto"/>
        <w:left w:val="none" w:sz="0" w:space="0" w:color="auto"/>
        <w:bottom w:val="none" w:sz="0" w:space="0" w:color="auto"/>
        <w:right w:val="none" w:sz="0" w:space="0" w:color="auto"/>
      </w:divBdr>
    </w:div>
    <w:div w:id="1133981594">
      <w:bodyDiv w:val="1"/>
      <w:marLeft w:val="0"/>
      <w:marRight w:val="0"/>
      <w:marTop w:val="0"/>
      <w:marBottom w:val="0"/>
      <w:divBdr>
        <w:top w:val="none" w:sz="0" w:space="0" w:color="auto"/>
        <w:left w:val="none" w:sz="0" w:space="0" w:color="auto"/>
        <w:bottom w:val="none" w:sz="0" w:space="0" w:color="auto"/>
        <w:right w:val="none" w:sz="0" w:space="0" w:color="auto"/>
      </w:divBdr>
    </w:div>
    <w:div w:id="1159492615">
      <w:bodyDiv w:val="1"/>
      <w:marLeft w:val="0"/>
      <w:marRight w:val="0"/>
      <w:marTop w:val="0"/>
      <w:marBottom w:val="0"/>
      <w:divBdr>
        <w:top w:val="none" w:sz="0" w:space="0" w:color="auto"/>
        <w:left w:val="none" w:sz="0" w:space="0" w:color="auto"/>
        <w:bottom w:val="none" w:sz="0" w:space="0" w:color="auto"/>
        <w:right w:val="none" w:sz="0" w:space="0" w:color="auto"/>
      </w:divBdr>
      <w:divsChild>
        <w:div w:id="235013075">
          <w:marLeft w:val="720"/>
          <w:marRight w:val="0"/>
          <w:marTop w:val="0"/>
          <w:marBottom w:val="0"/>
          <w:divBdr>
            <w:top w:val="none" w:sz="0" w:space="0" w:color="auto"/>
            <w:left w:val="none" w:sz="0" w:space="0" w:color="auto"/>
            <w:bottom w:val="none" w:sz="0" w:space="0" w:color="auto"/>
            <w:right w:val="none" w:sz="0" w:space="0" w:color="auto"/>
          </w:divBdr>
        </w:div>
        <w:div w:id="1881942354">
          <w:marLeft w:val="720"/>
          <w:marRight w:val="0"/>
          <w:marTop w:val="0"/>
          <w:marBottom w:val="0"/>
          <w:divBdr>
            <w:top w:val="none" w:sz="0" w:space="0" w:color="auto"/>
            <w:left w:val="none" w:sz="0" w:space="0" w:color="auto"/>
            <w:bottom w:val="none" w:sz="0" w:space="0" w:color="auto"/>
            <w:right w:val="none" w:sz="0" w:space="0" w:color="auto"/>
          </w:divBdr>
        </w:div>
        <w:div w:id="1680572288">
          <w:marLeft w:val="720"/>
          <w:marRight w:val="0"/>
          <w:marTop w:val="0"/>
          <w:marBottom w:val="0"/>
          <w:divBdr>
            <w:top w:val="none" w:sz="0" w:space="0" w:color="auto"/>
            <w:left w:val="none" w:sz="0" w:space="0" w:color="auto"/>
            <w:bottom w:val="none" w:sz="0" w:space="0" w:color="auto"/>
            <w:right w:val="none" w:sz="0" w:space="0" w:color="auto"/>
          </w:divBdr>
        </w:div>
        <w:div w:id="1139104162">
          <w:marLeft w:val="720"/>
          <w:marRight w:val="0"/>
          <w:marTop w:val="0"/>
          <w:marBottom w:val="0"/>
          <w:divBdr>
            <w:top w:val="none" w:sz="0" w:space="0" w:color="auto"/>
            <w:left w:val="none" w:sz="0" w:space="0" w:color="auto"/>
            <w:bottom w:val="none" w:sz="0" w:space="0" w:color="auto"/>
            <w:right w:val="none" w:sz="0" w:space="0" w:color="auto"/>
          </w:divBdr>
        </w:div>
      </w:divsChild>
    </w:div>
    <w:div w:id="1279221102">
      <w:bodyDiv w:val="1"/>
      <w:marLeft w:val="0"/>
      <w:marRight w:val="0"/>
      <w:marTop w:val="0"/>
      <w:marBottom w:val="0"/>
      <w:divBdr>
        <w:top w:val="none" w:sz="0" w:space="0" w:color="auto"/>
        <w:left w:val="none" w:sz="0" w:space="0" w:color="auto"/>
        <w:bottom w:val="none" w:sz="0" w:space="0" w:color="auto"/>
        <w:right w:val="none" w:sz="0" w:space="0" w:color="auto"/>
      </w:divBdr>
    </w:div>
    <w:div w:id="1326665541">
      <w:bodyDiv w:val="1"/>
      <w:marLeft w:val="0"/>
      <w:marRight w:val="0"/>
      <w:marTop w:val="0"/>
      <w:marBottom w:val="0"/>
      <w:divBdr>
        <w:top w:val="none" w:sz="0" w:space="0" w:color="auto"/>
        <w:left w:val="none" w:sz="0" w:space="0" w:color="auto"/>
        <w:bottom w:val="none" w:sz="0" w:space="0" w:color="auto"/>
        <w:right w:val="none" w:sz="0" w:space="0" w:color="auto"/>
      </w:divBdr>
    </w:div>
    <w:div w:id="1399862553">
      <w:bodyDiv w:val="1"/>
      <w:marLeft w:val="0"/>
      <w:marRight w:val="0"/>
      <w:marTop w:val="0"/>
      <w:marBottom w:val="0"/>
      <w:divBdr>
        <w:top w:val="none" w:sz="0" w:space="0" w:color="auto"/>
        <w:left w:val="none" w:sz="0" w:space="0" w:color="auto"/>
        <w:bottom w:val="none" w:sz="0" w:space="0" w:color="auto"/>
        <w:right w:val="none" w:sz="0" w:space="0" w:color="auto"/>
      </w:divBdr>
    </w:div>
    <w:div w:id="1456830033">
      <w:bodyDiv w:val="1"/>
      <w:marLeft w:val="0"/>
      <w:marRight w:val="0"/>
      <w:marTop w:val="0"/>
      <w:marBottom w:val="0"/>
      <w:divBdr>
        <w:top w:val="none" w:sz="0" w:space="0" w:color="auto"/>
        <w:left w:val="none" w:sz="0" w:space="0" w:color="auto"/>
        <w:bottom w:val="none" w:sz="0" w:space="0" w:color="auto"/>
        <w:right w:val="none" w:sz="0" w:space="0" w:color="auto"/>
      </w:divBdr>
    </w:div>
    <w:div w:id="1667633698">
      <w:bodyDiv w:val="1"/>
      <w:marLeft w:val="0"/>
      <w:marRight w:val="0"/>
      <w:marTop w:val="0"/>
      <w:marBottom w:val="0"/>
      <w:divBdr>
        <w:top w:val="none" w:sz="0" w:space="0" w:color="auto"/>
        <w:left w:val="none" w:sz="0" w:space="0" w:color="auto"/>
        <w:bottom w:val="none" w:sz="0" w:space="0" w:color="auto"/>
        <w:right w:val="none" w:sz="0" w:space="0" w:color="auto"/>
      </w:divBdr>
    </w:div>
    <w:div w:id="1693460378">
      <w:bodyDiv w:val="1"/>
      <w:marLeft w:val="0"/>
      <w:marRight w:val="0"/>
      <w:marTop w:val="0"/>
      <w:marBottom w:val="0"/>
      <w:divBdr>
        <w:top w:val="none" w:sz="0" w:space="0" w:color="auto"/>
        <w:left w:val="none" w:sz="0" w:space="0" w:color="auto"/>
        <w:bottom w:val="none" w:sz="0" w:space="0" w:color="auto"/>
        <w:right w:val="none" w:sz="0" w:space="0" w:color="auto"/>
      </w:divBdr>
    </w:div>
    <w:div w:id="1708263389">
      <w:bodyDiv w:val="1"/>
      <w:marLeft w:val="0"/>
      <w:marRight w:val="0"/>
      <w:marTop w:val="0"/>
      <w:marBottom w:val="0"/>
      <w:divBdr>
        <w:top w:val="none" w:sz="0" w:space="0" w:color="auto"/>
        <w:left w:val="none" w:sz="0" w:space="0" w:color="auto"/>
        <w:bottom w:val="none" w:sz="0" w:space="0" w:color="auto"/>
        <w:right w:val="none" w:sz="0" w:space="0" w:color="auto"/>
      </w:divBdr>
    </w:div>
    <w:div w:id="1716656320">
      <w:bodyDiv w:val="1"/>
      <w:marLeft w:val="0"/>
      <w:marRight w:val="0"/>
      <w:marTop w:val="0"/>
      <w:marBottom w:val="0"/>
      <w:divBdr>
        <w:top w:val="none" w:sz="0" w:space="0" w:color="auto"/>
        <w:left w:val="none" w:sz="0" w:space="0" w:color="auto"/>
        <w:bottom w:val="none" w:sz="0" w:space="0" w:color="auto"/>
        <w:right w:val="none" w:sz="0" w:space="0" w:color="auto"/>
      </w:divBdr>
    </w:div>
    <w:div w:id="1737320294">
      <w:bodyDiv w:val="1"/>
      <w:marLeft w:val="0"/>
      <w:marRight w:val="0"/>
      <w:marTop w:val="0"/>
      <w:marBottom w:val="0"/>
      <w:divBdr>
        <w:top w:val="none" w:sz="0" w:space="0" w:color="auto"/>
        <w:left w:val="none" w:sz="0" w:space="0" w:color="auto"/>
        <w:bottom w:val="none" w:sz="0" w:space="0" w:color="auto"/>
        <w:right w:val="none" w:sz="0" w:space="0" w:color="auto"/>
      </w:divBdr>
    </w:div>
    <w:div w:id="1808039289">
      <w:bodyDiv w:val="1"/>
      <w:marLeft w:val="0"/>
      <w:marRight w:val="0"/>
      <w:marTop w:val="0"/>
      <w:marBottom w:val="0"/>
      <w:divBdr>
        <w:top w:val="none" w:sz="0" w:space="0" w:color="auto"/>
        <w:left w:val="none" w:sz="0" w:space="0" w:color="auto"/>
        <w:bottom w:val="none" w:sz="0" w:space="0" w:color="auto"/>
        <w:right w:val="none" w:sz="0" w:space="0" w:color="auto"/>
      </w:divBdr>
    </w:div>
    <w:div w:id="1822383869">
      <w:bodyDiv w:val="1"/>
      <w:marLeft w:val="0"/>
      <w:marRight w:val="0"/>
      <w:marTop w:val="0"/>
      <w:marBottom w:val="0"/>
      <w:divBdr>
        <w:top w:val="none" w:sz="0" w:space="0" w:color="auto"/>
        <w:left w:val="none" w:sz="0" w:space="0" w:color="auto"/>
        <w:bottom w:val="none" w:sz="0" w:space="0" w:color="auto"/>
        <w:right w:val="none" w:sz="0" w:space="0" w:color="auto"/>
      </w:divBdr>
    </w:div>
    <w:div w:id="1836721888">
      <w:bodyDiv w:val="1"/>
      <w:marLeft w:val="0"/>
      <w:marRight w:val="0"/>
      <w:marTop w:val="0"/>
      <w:marBottom w:val="0"/>
      <w:divBdr>
        <w:top w:val="none" w:sz="0" w:space="0" w:color="auto"/>
        <w:left w:val="none" w:sz="0" w:space="0" w:color="auto"/>
        <w:bottom w:val="none" w:sz="0" w:space="0" w:color="auto"/>
        <w:right w:val="none" w:sz="0" w:space="0" w:color="auto"/>
      </w:divBdr>
    </w:div>
    <w:div w:id="1887446002">
      <w:bodyDiv w:val="1"/>
      <w:marLeft w:val="0"/>
      <w:marRight w:val="0"/>
      <w:marTop w:val="0"/>
      <w:marBottom w:val="0"/>
      <w:divBdr>
        <w:top w:val="none" w:sz="0" w:space="0" w:color="auto"/>
        <w:left w:val="none" w:sz="0" w:space="0" w:color="auto"/>
        <w:bottom w:val="none" w:sz="0" w:space="0" w:color="auto"/>
        <w:right w:val="none" w:sz="0" w:space="0" w:color="auto"/>
      </w:divBdr>
    </w:div>
    <w:div w:id="20498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ESESUBA\Desktop\DOCUMENTO%20SUBA%20FEB%202018\sitematizacion%20COVE%20FEBRERO%20%20SUB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Evaluación de Aspectos Generales del COVE</a:t>
            </a:r>
          </a:p>
        </c:rich>
      </c:tx>
      <c:overlay val="0"/>
    </c:title>
    <c:autoTitleDeleted val="0"/>
    <c:plotArea>
      <c:layout/>
      <c:barChart>
        <c:barDir val="col"/>
        <c:grouping val="clustered"/>
        <c:varyColors val="0"/>
        <c:ser>
          <c:idx val="0"/>
          <c:order val="0"/>
          <c:tx>
            <c:strRef>
              <c:f>Gráficas!$C$11</c:f>
              <c:strCache>
                <c:ptCount val="1"/>
                <c:pt idx="0">
                  <c:v>Infraestructura y comodidad del lugar </c:v>
                </c:pt>
              </c:strCache>
            </c:strRef>
          </c:tx>
          <c:spPr>
            <a:gradFill rotWithShape="0">
              <a:gsLst>
                <a:gs pos="0">
                  <a:srgbClr val="333399"/>
                </a:gs>
                <a:gs pos="100000">
                  <a:srgbClr val="0066CC"/>
                </a:gs>
              </a:gsLst>
              <a:lin ang="16200000" scaled="1"/>
            </a:gradFill>
            <a:ln w="25400">
              <a:noFill/>
            </a:ln>
          </c:spPr>
          <c:invertIfNegative val="0"/>
          <c:cat>
            <c:numRef>
              <c:f>Gráficas!$B$12:$B$16</c:f>
              <c:numCache>
                <c:formatCode>General</c:formatCode>
                <c:ptCount val="5"/>
                <c:pt idx="0">
                  <c:v>5</c:v>
                </c:pt>
                <c:pt idx="1">
                  <c:v>4</c:v>
                </c:pt>
                <c:pt idx="2">
                  <c:v>3</c:v>
                </c:pt>
                <c:pt idx="3">
                  <c:v>2</c:v>
                </c:pt>
                <c:pt idx="4">
                  <c:v>1</c:v>
                </c:pt>
              </c:numCache>
            </c:numRef>
          </c:cat>
          <c:val>
            <c:numRef>
              <c:f>Gráficas!$C$12:$C$16</c:f>
              <c:numCache>
                <c:formatCode>General</c:formatCode>
                <c:ptCount val="5"/>
                <c:pt idx="0">
                  <c:v>12</c:v>
                </c:pt>
                <c:pt idx="1">
                  <c:v>11</c:v>
                </c:pt>
                <c:pt idx="2">
                  <c:v>9</c:v>
                </c:pt>
                <c:pt idx="3">
                  <c:v>0</c:v>
                </c:pt>
                <c:pt idx="4">
                  <c:v>0</c:v>
                </c:pt>
              </c:numCache>
            </c:numRef>
          </c:val>
        </c:ser>
        <c:ser>
          <c:idx val="1"/>
          <c:order val="1"/>
          <c:tx>
            <c:strRef>
              <c:f>Gráficas!$D$11</c:f>
              <c:strCache>
                <c:ptCount val="1"/>
                <c:pt idx="0">
                  <c:v>Cumplimiento del horario y del programa</c:v>
                </c:pt>
              </c:strCache>
            </c:strRef>
          </c:tx>
          <c:spPr>
            <a:gradFill rotWithShape="0">
              <a:gsLst>
                <a:gs pos="0">
                  <a:srgbClr val="993300"/>
                </a:gs>
                <a:gs pos="100000">
                  <a:srgbClr val="993366"/>
                </a:gs>
              </a:gsLst>
              <a:lin ang="16200000" scaled="1"/>
            </a:gradFill>
            <a:ln w="25400">
              <a:noFill/>
            </a:ln>
          </c:spPr>
          <c:invertIfNegative val="0"/>
          <c:cat>
            <c:numRef>
              <c:f>Gráficas!$B$12:$B$16</c:f>
              <c:numCache>
                <c:formatCode>General</c:formatCode>
                <c:ptCount val="5"/>
                <c:pt idx="0">
                  <c:v>5</c:v>
                </c:pt>
                <c:pt idx="1">
                  <c:v>4</c:v>
                </c:pt>
                <c:pt idx="2">
                  <c:v>3</c:v>
                </c:pt>
                <c:pt idx="3">
                  <c:v>2</c:v>
                </c:pt>
                <c:pt idx="4">
                  <c:v>1</c:v>
                </c:pt>
              </c:numCache>
            </c:numRef>
          </c:cat>
          <c:val>
            <c:numRef>
              <c:f>Gráficas!$D$12:$D$16</c:f>
              <c:numCache>
                <c:formatCode>General</c:formatCode>
                <c:ptCount val="5"/>
                <c:pt idx="0">
                  <c:v>13</c:v>
                </c:pt>
                <c:pt idx="1">
                  <c:v>15</c:v>
                </c:pt>
                <c:pt idx="2">
                  <c:v>3</c:v>
                </c:pt>
                <c:pt idx="3">
                  <c:v>0</c:v>
                </c:pt>
                <c:pt idx="4">
                  <c:v>0</c:v>
                </c:pt>
              </c:numCache>
            </c:numRef>
          </c:val>
        </c:ser>
        <c:ser>
          <c:idx val="2"/>
          <c:order val="2"/>
          <c:tx>
            <c:strRef>
              <c:f>Gráficas!$E$11</c:f>
              <c:strCache>
                <c:ptCount val="1"/>
                <c:pt idx="0">
                  <c:v>Utilidad de los contenidos abordados</c:v>
                </c:pt>
              </c:strCache>
            </c:strRef>
          </c:tx>
          <c:spPr>
            <a:gradFill rotWithShape="0">
              <a:gsLst>
                <a:gs pos="0">
                  <a:srgbClr val="808000"/>
                </a:gs>
                <a:gs pos="100000">
                  <a:srgbClr val="99CC00"/>
                </a:gs>
              </a:gsLst>
              <a:lin ang="16200000" scaled="1"/>
            </a:gradFill>
            <a:ln w="25400">
              <a:noFill/>
            </a:ln>
          </c:spPr>
          <c:invertIfNegative val="0"/>
          <c:cat>
            <c:numRef>
              <c:f>Gráficas!$B$12:$B$16</c:f>
              <c:numCache>
                <c:formatCode>General</c:formatCode>
                <c:ptCount val="5"/>
                <c:pt idx="0">
                  <c:v>5</c:v>
                </c:pt>
                <c:pt idx="1">
                  <c:v>4</c:v>
                </c:pt>
                <c:pt idx="2">
                  <c:v>3</c:v>
                </c:pt>
                <c:pt idx="3">
                  <c:v>2</c:v>
                </c:pt>
                <c:pt idx="4">
                  <c:v>1</c:v>
                </c:pt>
              </c:numCache>
            </c:numRef>
          </c:cat>
          <c:val>
            <c:numRef>
              <c:f>Gráficas!$E$12:$E$16</c:f>
              <c:numCache>
                <c:formatCode>General</c:formatCode>
                <c:ptCount val="5"/>
                <c:pt idx="0">
                  <c:v>19</c:v>
                </c:pt>
                <c:pt idx="1">
                  <c:v>13</c:v>
                </c:pt>
                <c:pt idx="2">
                  <c:v>0</c:v>
                </c:pt>
                <c:pt idx="3">
                  <c:v>0</c:v>
                </c:pt>
                <c:pt idx="4">
                  <c:v>0</c:v>
                </c:pt>
              </c:numCache>
            </c:numRef>
          </c:val>
        </c:ser>
        <c:dLbls>
          <c:showLegendKey val="0"/>
          <c:showVal val="0"/>
          <c:showCatName val="0"/>
          <c:showSerName val="0"/>
          <c:showPercent val="0"/>
          <c:showBubbleSize val="0"/>
        </c:dLbls>
        <c:gapWidth val="150"/>
        <c:axId val="120890880"/>
        <c:axId val="120892416"/>
      </c:barChart>
      <c:catAx>
        <c:axId val="120890880"/>
        <c:scaling>
          <c:orientation val="minMax"/>
        </c:scaling>
        <c:delete val="0"/>
        <c:axPos val="b"/>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20892416"/>
        <c:crossesAt val="0"/>
        <c:auto val="1"/>
        <c:lblAlgn val="ctr"/>
        <c:lblOffset val="100"/>
        <c:tickLblSkip val="1"/>
        <c:tickMarkSkip val="1"/>
        <c:noMultiLvlLbl val="0"/>
      </c:catAx>
      <c:valAx>
        <c:axId val="120892416"/>
        <c:scaling>
          <c:orientation val="minMax"/>
        </c:scaling>
        <c:delete val="0"/>
        <c:axPos val="l"/>
        <c:majorGridlines>
          <c:spPr>
            <a:ln w="3175">
              <a:solidFill>
                <a:srgbClr val="808080"/>
              </a:solidFill>
              <a:prstDash val="solid"/>
            </a:ln>
          </c:spPr>
        </c:majorGridlines>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20890880"/>
        <c:crossesAt val="1"/>
        <c:crossBetween val="between"/>
      </c:valAx>
      <c:spPr>
        <a:solidFill>
          <a:srgbClr val="FFFFFF"/>
        </a:solidFill>
        <a:ln w="25400">
          <a:noFill/>
        </a:ln>
      </c:spPr>
    </c:plotArea>
    <c:legend>
      <c:legendPos val="r"/>
      <c:overlay val="0"/>
      <c:spPr>
        <a:noFill/>
        <a:ln w="25400">
          <a:noFill/>
        </a:ln>
      </c:spPr>
      <c:txPr>
        <a:bodyPr/>
        <a:lstStyle/>
        <a:p>
          <a:pPr>
            <a:defRPr sz="775" b="0" i="0" u="none" strike="noStrike" baseline="0">
              <a:solidFill>
                <a:srgbClr val="000000"/>
              </a:solidFill>
              <a:latin typeface="Calibri"/>
              <a:ea typeface="Calibri"/>
              <a:cs typeface="Calibri"/>
            </a:defRPr>
          </a:pPr>
          <a:endParaRPr lang="es-MX"/>
        </a:p>
      </c:txPr>
    </c:legend>
    <c:plotVisOnly val="1"/>
    <c:dispBlanksAs val="gap"/>
    <c:showDLblsOverMax val="0"/>
  </c:chart>
  <c:spPr>
    <a:solidFill>
      <a:srgbClr val="FFFFFF"/>
    </a:solidFill>
    <a:ln w="3175">
      <a:solidFill>
        <a:srgbClr val="808080"/>
      </a:solidFill>
      <a:prstDash val="solid"/>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 Introducción SIVISTRA </a:t>
            </a:r>
          </a:p>
        </c:rich>
      </c:tx>
      <c:layout>
        <c:manualLayout>
          <c:xMode val="edge"/>
          <c:yMode val="edge"/>
          <c:x val="0.37010287093187111"/>
          <c:y val="2.9818956336528223E-2"/>
        </c:manualLayout>
      </c:layout>
      <c:overlay val="0"/>
    </c:title>
    <c:autoTitleDeleted val="0"/>
    <c:plotArea>
      <c:layout/>
      <c:barChart>
        <c:barDir val="col"/>
        <c:grouping val="clustered"/>
        <c:varyColors val="0"/>
        <c:ser>
          <c:idx val="0"/>
          <c:order val="0"/>
          <c:tx>
            <c:strRef>
              <c:f>Gráficas!$C$26</c:f>
              <c:strCache>
                <c:ptCount val="1"/>
                <c:pt idx="0">
                  <c:v>Metodología utilizada</c:v>
                </c:pt>
              </c:strCache>
            </c:strRef>
          </c:tx>
          <c:spPr>
            <a:gradFill rotWithShape="0">
              <a:gsLst>
                <a:gs pos="0">
                  <a:srgbClr val="333399"/>
                </a:gs>
                <a:gs pos="100000">
                  <a:srgbClr val="0066CC"/>
                </a:gs>
              </a:gsLst>
              <a:lin ang="16200000" scaled="1"/>
            </a:gradFill>
            <a:ln w="25400">
              <a:noFill/>
            </a:ln>
          </c:spPr>
          <c:invertIfNegative val="0"/>
          <c:cat>
            <c:numRef>
              <c:f>Gráficas!$B$27:$B$31</c:f>
              <c:numCache>
                <c:formatCode>General</c:formatCode>
                <c:ptCount val="5"/>
                <c:pt idx="0">
                  <c:v>5</c:v>
                </c:pt>
                <c:pt idx="1">
                  <c:v>4</c:v>
                </c:pt>
                <c:pt idx="2">
                  <c:v>3</c:v>
                </c:pt>
                <c:pt idx="3">
                  <c:v>2</c:v>
                </c:pt>
                <c:pt idx="4">
                  <c:v>1</c:v>
                </c:pt>
              </c:numCache>
            </c:numRef>
          </c:cat>
          <c:val>
            <c:numRef>
              <c:f>Gráficas!$C$27:$C$31</c:f>
              <c:numCache>
                <c:formatCode>General</c:formatCode>
                <c:ptCount val="5"/>
                <c:pt idx="0">
                  <c:v>18</c:v>
                </c:pt>
                <c:pt idx="1">
                  <c:v>17</c:v>
                </c:pt>
                <c:pt idx="2">
                  <c:v>0</c:v>
                </c:pt>
                <c:pt idx="3">
                  <c:v>0</c:v>
                </c:pt>
                <c:pt idx="4">
                  <c:v>0</c:v>
                </c:pt>
              </c:numCache>
            </c:numRef>
          </c:val>
        </c:ser>
        <c:ser>
          <c:idx val="1"/>
          <c:order val="1"/>
          <c:tx>
            <c:strRef>
              <c:f>Gráficas!$D$26</c:f>
              <c:strCache>
                <c:ptCount val="1"/>
                <c:pt idx="0">
                  <c:v>Grado de motivación del relator </c:v>
                </c:pt>
              </c:strCache>
            </c:strRef>
          </c:tx>
          <c:spPr>
            <a:gradFill rotWithShape="0">
              <a:gsLst>
                <a:gs pos="0">
                  <a:srgbClr val="993300"/>
                </a:gs>
                <a:gs pos="100000">
                  <a:srgbClr val="993366"/>
                </a:gs>
              </a:gsLst>
              <a:lin ang="16200000" scaled="1"/>
            </a:gradFill>
            <a:ln w="25400">
              <a:noFill/>
            </a:ln>
          </c:spPr>
          <c:invertIfNegative val="0"/>
          <c:cat>
            <c:numRef>
              <c:f>Gráficas!$B$27:$B$31</c:f>
              <c:numCache>
                <c:formatCode>General</c:formatCode>
                <c:ptCount val="5"/>
                <c:pt idx="0">
                  <c:v>5</c:v>
                </c:pt>
                <c:pt idx="1">
                  <c:v>4</c:v>
                </c:pt>
                <c:pt idx="2">
                  <c:v>3</c:v>
                </c:pt>
                <c:pt idx="3">
                  <c:v>2</c:v>
                </c:pt>
                <c:pt idx="4">
                  <c:v>1</c:v>
                </c:pt>
              </c:numCache>
            </c:numRef>
          </c:cat>
          <c:val>
            <c:numRef>
              <c:f>Gráficas!$D$27:$D$31</c:f>
              <c:numCache>
                <c:formatCode>General</c:formatCode>
                <c:ptCount val="5"/>
                <c:pt idx="0">
                  <c:v>19</c:v>
                </c:pt>
                <c:pt idx="1">
                  <c:v>15</c:v>
                </c:pt>
                <c:pt idx="2">
                  <c:v>1</c:v>
                </c:pt>
                <c:pt idx="3">
                  <c:v>0</c:v>
                </c:pt>
                <c:pt idx="4">
                  <c:v>0</c:v>
                </c:pt>
              </c:numCache>
            </c:numRef>
          </c:val>
        </c:ser>
        <c:ser>
          <c:idx val="2"/>
          <c:order val="2"/>
          <c:tx>
            <c:strRef>
              <c:f>Gráficas!$E$26</c:f>
              <c:strCache>
                <c:ptCount val="1"/>
                <c:pt idx="0">
                  <c:v>Calidad y claridad de la exposición</c:v>
                </c:pt>
              </c:strCache>
            </c:strRef>
          </c:tx>
          <c:spPr>
            <a:gradFill rotWithShape="0">
              <a:gsLst>
                <a:gs pos="0">
                  <a:srgbClr val="808000"/>
                </a:gs>
                <a:gs pos="100000">
                  <a:srgbClr val="99CC00"/>
                </a:gs>
              </a:gsLst>
              <a:lin ang="16200000" scaled="1"/>
            </a:gradFill>
            <a:ln w="25400">
              <a:noFill/>
            </a:ln>
          </c:spPr>
          <c:invertIfNegative val="0"/>
          <c:cat>
            <c:numRef>
              <c:f>Gráficas!$B$27:$B$31</c:f>
              <c:numCache>
                <c:formatCode>General</c:formatCode>
                <c:ptCount val="5"/>
                <c:pt idx="0">
                  <c:v>5</c:v>
                </c:pt>
                <c:pt idx="1">
                  <c:v>4</c:v>
                </c:pt>
                <c:pt idx="2">
                  <c:v>3</c:v>
                </c:pt>
                <c:pt idx="3">
                  <c:v>2</c:v>
                </c:pt>
                <c:pt idx="4">
                  <c:v>1</c:v>
                </c:pt>
              </c:numCache>
            </c:numRef>
          </c:cat>
          <c:val>
            <c:numRef>
              <c:f>Gráficas!$E$27:$E$31</c:f>
              <c:numCache>
                <c:formatCode>General</c:formatCode>
                <c:ptCount val="5"/>
                <c:pt idx="0">
                  <c:v>18</c:v>
                </c:pt>
                <c:pt idx="1">
                  <c:v>16</c:v>
                </c:pt>
                <c:pt idx="2">
                  <c:v>0</c:v>
                </c:pt>
                <c:pt idx="3">
                  <c:v>0</c:v>
                </c:pt>
                <c:pt idx="4">
                  <c:v>0</c:v>
                </c:pt>
              </c:numCache>
            </c:numRef>
          </c:val>
        </c:ser>
        <c:ser>
          <c:idx val="3"/>
          <c:order val="3"/>
          <c:tx>
            <c:strRef>
              <c:f>Gráficas!$F$26</c:f>
              <c:strCache>
                <c:ptCount val="1"/>
                <c:pt idx="0">
                  <c:v>Calidad y claridad de los ejemplos entregados (si aplica)</c:v>
                </c:pt>
              </c:strCache>
            </c:strRef>
          </c:tx>
          <c:spPr>
            <a:gradFill rotWithShape="0">
              <a:gsLst>
                <a:gs pos="0">
                  <a:srgbClr val="666699"/>
                </a:gs>
                <a:gs pos="100000">
                  <a:srgbClr val="666699"/>
                </a:gs>
              </a:gsLst>
              <a:lin ang="16200000" scaled="1"/>
            </a:gradFill>
            <a:ln w="25400">
              <a:noFill/>
            </a:ln>
          </c:spPr>
          <c:invertIfNegative val="0"/>
          <c:cat>
            <c:numRef>
              <c:f>Gráficas!$B$27:$B$31</c:f>
              <c:numCache>
                <c:formatCode>General</c:formatCode>
                <c:ptCount val="5"/>
                <c:pt idx="0">
                  <c:v>5</c:v>
                </c:pt>
                <c:pt idx="1">
                  <c:v>4</c:v>
                </c:pt>
                <c:pt idx="2">
                  <c:v>3</c:v>
                </c:pt>
                <c:pt idx="3">
                  <c:v>2</c:v>
                </c:pt>
                <c:pt idx="4">
                  <c:v>1</c:v>
                </c:pt>
              </c:numCache>
            </c:numRef>
          </c:cat>
          <c:val>
            <c:numRef>
              <c:f>Gráficas!$F$27:$F$31</c:f>
              <c:numCache>
                <c:formatCode>General</c:formatCode>
                <c:ptCount val="5"/>
                <c:pt idx="0">
                  <c:v>18</c:v>
                </c:pt>
                <c:pt idx="1">
                  <c:v>16</c:v>
                </c:pt>
                <c:pt idx="2">
                  <c:v>0</c:v>
                </c:pt>
                <c:pt idx="3">
                  <c:v>0</c:v>
                </c:pt>
                <c:pt idx="4">
                  <c:v>0</c:v>
                </c:pt>
              </c:numCache>
            </c:numRef>
          </c:val>
        </c:ser>
        <c:ser>
          <c:idx val="4"/>
          <c:order val="4"/>
          <c:tx>
            <c:strRef>
              <c:f>Gráficas!$G$26</c:f>
              <c:strCache>
                <c:ptCount val="1"/>
                <c:pt idx="0">
                  <c:v>Calidad del material  entregado</c:v>
                </c:pt>
              </c:strCache>
            </c:strRef>
          </c:tx>
          <c:spPr>
            <a:gradFill rotWithShape="0">
              <a:gsLst>
                <a:gs pos="0">
                  <a:srgbClr val="008080"/>
                </a:gs>
                <a:gs pos="100000">
                  <a:srgbClr val="33CCCC"/>
                </a:gs>
              </a:gsLst>
              <a:lin ang="16200000" scaled="1"/>
            </a:gradFill>
            <a:ln w="25400">
              <a:noFill/>
            </a:ln>
          </c:spPr>
          <c:invertIfNegative val="0"/>
          <c:cat>
            <c:numRef>
              <c:f>Gráficas!$B$27:$B$31</c:f>
              <c:numCache>
                <c:formatCode>General</c:formatCode>
                <c:ptCount val="5"/>
                <c:pt idx="0">
                  <c:v>5</c:v>
                </c:pt>
                <c:pt idx="1">
                  <c:v>4</c:v>
                </c:pt>
                <c:pt idx="2">
                  <c:v>3</c:v>
                </c:pt>
                <c:pt idx="3">
                  <c:v>2</c:v>
                </c:pt>
                <c:pt idx="4">
                  <c:v>1</c:v>
                </c:pt>
              </c:numCache>
            </c:numRef>
          </c:cat>
          <c:val>
            <c:numRef>
              <c:f>Gráficas!$G$27:$G$31</c:f>
              <c:numCache>
                <c:formatCode>General</c:formatCode>
                <c:ptCount val="5"/>
                <c:pt idx="0">
                  <c:v>12</c:v>
                </c:pt>
                <c:pt idx="1">
                  <c:v>16</c:v>
                </c:pt>
                <c:pt idx="2">
                  <c:v>0</c:v>
                </c:pt>
                <c:pt idx="3">
                  <c:v>0</c:v>
                </c:pt>
                <c:pt idx="4">
                  <c:v>0</c:v>
                </c:pt>
              </c:numCache>
            </c:numRef>
          </c:val>
        </c:ser>
        <c:dLbls>
          <c:showLegendKey val="0"/>
          <c:showVal val="0"/>
          <c:showCatName val="0"/>
          <c:showSerName val="0"/>
          <c:showPercent val="0"/>
          <c:showBubbleSize val="0"/>
        </c:dLbls>
        <c:gapWidth val="150"/>
        <c:axId val="128691200"/>
        <c:axId val="129737472"/>
      </c:barChart>
      <c:catAx>
        <c:axId val="128691200"/>
        <c:scaling>
          <c:orientation val="minMax"/>
        </c:scaling>
        <c:delete val="0"/>
        <c:axPos val="b"/>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29737472"/>
        <c:crossesAt val="0"/>
        <c:auto val="1"/>
        <c:lblAlgn val="ctr"/>
        <c:lblOffset val="100"/>
        <c:tickLblSkip val="1"/>
        <c:tickMarkSkip val="1"/>
        <c:noMultiLvlLbl val="0"/>
      </c:catAx>
      <c:valAx>
        <c:axId val="129737472"/>
        <c:scaling>
          <c:orientation val="minMax"/>
        </c:scaling>
        <c:delete val="0"/>
        <c:axPos val="l"/>
        <c:majorGridlines>
          <c:spPr>
            <a:ln w="3175">
              <a:solidFill>
                <a:srgbClr val="808080"/>
              </a:solidFill>
              <a:prstDash val="solid"/>
            </a:ln>
          </c:spPr>
        </c:majorGridlines>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28691200"/>
        <c:crossesAt val="1"/>
        <c:crossBetween val="between"/>
      </c:valAx>
      <c:spPr>
        <a:solidFill>
          <a:srgbClr val="FFFFFF"/>
        </a:solidFill>
        <a:ln w="25400">
          <a:noFill/>
        </a:ln>
      </c:spPr>
    </c:plotArea>
    <c:legend>
      <c:legendPos val="r"/>
      <c:overlay val="0"/>
      <c:spPr>
        <a:noFill/>
        <a:ln w="25400">
          <a:noFill/>
        </a:ln>
      </c:spPr>
      <c:txPr>
        <a:bodyPr/>
        <a:lstStyle/>
        <a:p>
          <a:pPr>
            <a:defRPr sz="775" b="0" i="0" u="none" strike="noStrike" baseline="0">
              <a:solidFill>
                <a:srgbClr val="000000"/>
              </a:solidFill>
              <a:latin typeface="Calibri"/>
              <a:ea typeface="Calibri"/>
              <a:cs typeface="Calibri"/>
            </a:defRPr>
          </a:pPr>
          <a:endParaRPr lang="es-MX"/>
        </a:p>
      </c:txPr>
    </c:legend>
    <c:plotVisOnly val="1"/>
    <c:dispBlanksAs val="gap"/>
    <c:showDLblsOverMax val="0"/>
  </c:chart>
  <c:spPr>
    <a:solidFill>
      <a:srgbClr val="FFFFFF"/>
    </a:solidFill>
    <a:ln w="3175">
      <a:solidFill>
        <a:srgbClr val="808080"/>
      </a:solidFill>
      <a:prstDash val="solid"/>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MX"/>
              <a:t> Introducción y socialización de indicadores SISVESO </a:t>
            </a:r>
          </a:p>
        </c:rich>
      </c:tx>
      <c:layout>
        <c:manualLayout>
          <c:xMode val="edge"/>
          <c:yMode val="edge"/>
          <c:x val="0.32768439108061748"/>
          <c:y val="2.5559105431309903E-2"/>
        </c:manualLayout>
      </c:layout>
      <c:overlay val="0"/>
    </c:title>
    <c:autoTitleDeleted val="0"/>
    <c:plotArea>
      <c:layout/>
      <c:barChart>
        <c:barDir val="col"/>
        <c:grouping val="clustered"/>
        <c:varyColors val="0"/>
        <c:ser>
          <c:idx val="0"/>
          <c:order val="0"/>
          <c:tx>
            <c:strRef>
              <c:f>Gráficas!$C$40</c:f>
              <c:strCache>
                <c:ptCount val="1"/>
                <c:pt idx="0">
                  <c:v>Metodología utilizada</c:v>
                </c:pt>
              </c:strCache>
            </c:strRef>
          </c:tx>
          <c:spPr>
            <a:gradFill rotWithShape="0">
              <a:gsLst>
                <a:gs pos="0">
                  <a:srgbClr val="333399"/>
                </a:gs>
                <a:gs pos="100000">
                  <a:srgbClr val="0066CC"/>
                </a:gs>
              </a:gsLst>
              <a:lin ang="16200000" scaled="1"/>
            </a:gradFill>
            <a:ln w="25400">
              <a:noFill/>
            </a:ln>
          </c:spPr>
          <c:invertIfNegative val="0"/>
          <c:cat>
            <c:numRef>
              <c:f>Gráficas!$B$41:$B$45</c:f>
              <c:numCache>
                <c:formatCode>General</c:formatCode>
                <c:ptCount val="5"/>
                <c:pt idx="0">
                  <c:v>5</c:v>
                </c:pt>
                <c:pt idx="1">
                  <c:v>4</c:v>
                </c:pt>
                <c:pt idx="2">
                  <c:v>3</c:v>
                </c:pt>
                <c:pt idx="3">
                  <c:v>2</c:v>
                </c:pt>
                <c:pt idx="4">
                  <c:v>1</c:v>
                </c:pt>
              </c:numCache>
            </c:numRef>
          </c:cat>
          <c:val>
            <c:numRef>
              <c:f>Gráficas!$C$41:$C$45</c:f>
              <c:numCache>
                <c:formatCode>General</c:formatCode>
                <c:ptCount val="5"/>
                <c:pt idx="0">
                  <c:v>16</c:v>
                </c:pt>
                <c:pt idx="1">
                  <c:v>20</c:v>
                </c:pt>
                <c:pt idx="2">
                  <c:v>0</c:v>
                </c:pt>
                <c:pt idx="3">
                  <c:v>0</c:v>
                </c:pt>
                <c:pt idx="4">
                  <c:v>0</c:v>
                </c:pt>
              </c:numCache>
            </c:numRef>
          </c:val>
        </c:ser>
        <c:ser>
          <c:idx val="1"/>
          <c:order val="1"/>
          <c:tx>
            <c:strRef>
              <c:f>Gráficas!$D$40</c:f>
              <c:strCache>
                <c:ptCount val="1"/>
                <c:pt idx="0">
                  <c:v>Grado de motivación del relator </c:v>
                </c:pt>
              </c:strCache>
            </c:strRef>
          </c:tx>
          <c:spPr>
            <a:gradFill rotWithShape="0">
              <a:gsLst>
                <a:gs pos="0">
                  <a:srgbClr val="993300"/>
                </a:gs>
                <a:gs pos="100000">
                  <a:srgbClr val="993366"/>
                </a:gs>
              </a:gsLst>
              <a:lin ang="16200000" scaled="1"/>
            </a:gradFill>
            <a:ln w="25400">
              <a:noFill/>
            </a:ln>
          </c:spPr>
          <c:invertIfNegative val="0"/>
          <c:cat>
            <c:numRef>
              <c:f>Gráficas!$B$41:$B$45</c:f>
              <c:numCache>
                <c:formatCode>General</c:formatCode>
                <c:ptCount val="5"/>
                <c:pt idx="0">
                  <c:v>5</c:v>
                </c:pt>
                <c:pt idx="1">
                  <c:v>4</c:v>
                </c:pt>
                <c:pt idx="2">
                  <c:v>3</c:v>
                </c:pt>
                <c:pt idx="3">
                  <c:v>2</c:v>
                </c:pt>
                <c:pt idx="4">
                  <c:v>1</c:v>
                </c:pt>
              </c:numCache>
            </c:numRef>
          </c:cat>
          <c:val>
            <c:numRef>
              <c:f>Gráficas!$D$41:$D$45</c:f>
              <c:numCache>
                <c:formatCode>General</c:formatCode>
                <c:ptCount val="5"/>
                <c:pt idx="0">
                  <c:v>17</c:v>
                </c:pt>
                <c:pt idx="1">
                  <c:v>17</c:v>
                </c:pt>
                <c:pt idx="2">
                  <c:v>2</c:v>
                </c:pt>
                <c:pt idx="3">
                  <c:v>0</c:v>
                </c:pt>
                <c:pt idx="4">
                  <c:v>0</c:v>
                </c:pt>
              </c:numCache>
            </c:numRef>
          </c:val>
        </c:ser>
        <c:ser>
          <c:idx val="2"/>
          <c:order val="2"/>
          <c:tx>
            <c:strRef>
              <c:f>Gráficas!$E$40</c:f>
              <c:strCache>
                <c:ptCount val="1"/>
                <c:pt idx="0">
                  <c:v>Calidad y claridad de la exposición</c:v>
                </c:pt>
              </c:strCache>
            </c:strRef>
          </c:tx>
          <c:spPr>
            <a:gradFill rotWithShape="0">
              <a:gsLst>
                <a:gs pos="0">
                  <a:srgbClr val="808000"/>
                </a:gs>
                <a:gs pos="100000">
                  <a:srgbClr val="99CC00"/>
                </a:gs>
              </a:gsLst>
              <a:lin ang="16200000" scaled="1"/>
            </a:gradFill>
            <a:ln w="25400">
              <a:noFill/>
            </a:ln>
          </c:spPr>
          <c:invertIfNegative val="0"/>
          <c:cat>
            <c:numRef>
              <c:f>Gráficas!$B$41:$B$45</c:f>
              <c:numCache>
                <c:formatCode>General</c:formatCode>
                <c:ptCount val="5"/>
                <c:pt idx="0">
                  <c:v>5</c:v>
                </c:pt>
                <c:pt idx="1">
                  <c:v>4</c:v>
                </c:pt>
                <c:pt idx="2">
                  <c:v>3</c:v>
                </c:pt>
                <c:pt idx="3">
                  <c:v>2</c:v>
                </c:pt>
                <c:pt idx="4">
                  <c:v>1</c:v>
                </c:pt>
              </c:numCache>
            </c:numRef>
          </c:cat>
          <c:val>
            <c:numRef>
              <c:f>Gráficas!$E$41:$E$45</c:f>
              <c:numCache>
                <c:formatCode>General</c:formatCode>
                <c:ptCount val="5"/>
                <c:pt idx="0">
                  <c:v>15</c:v>
                </c:pt>
                <c:pt idx="1">
                  <c:v>20</c:v>
                </c:pt>
                <c:pt idx="2">
                  <c:v>0</c:v>
                </c:pt>
                <c:pt idx="3">
                  <c:v>0</c:v>
                </c:pt>
                <c:pt idx="4">
                  <c:v>0</c:v>
                </c:pt>
              </c:numCache>
            </c:numRef>
          </c:val>
        </c:ser>
        <c:ser>
          <c:idx val="3"/>
          <c:order val="3"/>
          <c:tx>
            <c:strRef>
              <c:f>Gráficas!$F$40</c:f>
              <c:strCache>
                <c:ptCount val="1"/>
                <c:pt idx="0">
                  <c:v>Calidad y claridad de los ejemplos entregados (si aplica)</c:v>
                </c:pt>
              </c:strCache>
            </c:strRef>
          </c:tx>
          <c:spPr>
            <a:gradFill rotWithShape="0">
              <a:gsLst>
                <a:gs pos="0">
                  <a:srgbClr val="666699"/>
                </a:gs>
                <a:gs pos="100000">
                  <a:srgbClr val="666699"/>
                </a:gs>
              </a:gsLst>
              <a:lin ang="16200000" scaled="1"/>
            </a:gradFill>
            <a:ln w="25400">
              <a:noFill/>
            </a:ln>
          </c:spPr>
          <c:invertIfNegative val="0"/>
          <c:cat>
            <c:numRef>
              <c:f>Gráficas!$B$41:$B$45</c:f>
              <c:numCache>
                <c:formatCode>General</c:formatCode>
                <c:ptCount val="5"/>
                <c:pt idx="0">
                  <c:v>5</c:v>
                </c:pt>
                <c:pt idx="1">
                  <c:v>4</c:v>
                </c:pt>
                <c:pt idx="2">
                  <c:v>3</c:v>
                </c:pt>
                <c:pt idx="3">
                  <c:v>2</c:v>
                </c:pt>
                <c:pt idx="4">
                  <c:v>1</c:v>
                </c:pt>
              </c:numCache>
            </c:numRef>
          </c:cat>
          <c:val>
            <c:numRef>
              <c:f>Gráficas!$F$41:$F$45</c:f>
              <c:numCache>
                <c:formatCode>General</c:formatCode>
                <c:ptCount val="5"/>
                <c:pt idx="0">
                  <c:v>15</c:v>
                </c:pt>
                <c:pt idx="1">
                  <c:v>20</c:v>
                </c:pt>
                <c:pt idx="2">
                  <c:v>0</c:v>
                </c:pt>
                <c:pt idx="3">
                  <c:v>0</c:v>
                </c:pt>
                <c:pt idx="4">
                  <c:v>0</c:v>
                </c:pt>
              </c:numCache>
            </c:numRef>
          </c:val>
        </c:ser>
        <c:ser>
          <c:idx val="4"/>
          <c:order val="4"/>
          <c:tx>
            <c:strRef>
              <c:f>Gráficas!$G$40</c:f>
              <c:strCache>
                <c:ptCount val="1"/>
                <c:pt idx="0">
                  <c:v>Calidad del material  entregado</c:v>
                </c:pt>
              </c:strCache>
            </c:strRef>
          </c:tx>
          <c:spPr>
            <a:gradFill rotWithShape="0">
              <a:gsLst>
                <a:gs pos="0">
                  <a:srgbClr val="008080"/>
                </a:gs>
                <a:gs pos="100000">
                  <a:srgbClr val="33CCCC"/>
                </a:gs>
              </a:gsLst>
              <a:lin ang="16200000" scaled="1"/>
            </a:gradFill>
            <a:ln w="25400">
              <a:noFill/>
            </a:ln>
          </c:spPr>
          <c:invertIfNegative val="0"/>
          <c:cat>
            <c:numRef>
              <c:f>Gráficas!$B$41:$B$45</c:f>
              <c:numCache>
                <c:formatCode>General</c:formatCode>
                <c:ptCount val="5"/>
                <c:pt idx="0">
                  <c:v>5</c:v>
                </c:pt>
                <c:pt idx="1">
                  <c:v>4</c:v>
                </c:pt>
                <c:pt idx="2">
                  <c:v>3</c:v>
                </c:pt>
                <c:pt idx="3">
                  <c:v>2</c:v>
                </c:pt>
                <c:pt idx="4">
                  <c:v>1</c:v>
                </c:pt>
              </c:numCache>
            </c:numRef>
          </c:cat>
          <c:val>
            <c:numRef>
              <c:f>Gráficas!$G$41:$G$45</c:f>
              <c:numCache>
                <c:formatCode>General</c:formatCode>
                <c:ptCount val="5"/>
                <c:pt idx="0">
                  <c:v>12</c:v>
                </c:pt>
                <c:pt idx="1">
                  <c:v>18</c:v>
                </c:pt>
                <c:pt idx="2">
                  <c:v>0</c:v>
                </c:pt>
                <c:pt idx="3">
                  <c:v>0</c:v>
                </c:pt>
                <c:pt idx="4">
                  <c:v>0</c:v>
                </c:pt>
              </c:numCache>
            </c:numRef>
          </c:val>
        </c:ser>
        <c:dLbls>
          <c:showLegendKey val="0"/>
          <c:showVal val="0"/>
          <c:showCatName val="0"/>
          <c:showSerName val="0"/>
          <c:showPercent val="0"/>
          <c:showBubbleSize val="0"/>
        </c:dLbls>
        <c:gapWidth val="150"/>
        <c:axId val="104280832"/>
        <c:axId val="104282368"/>
      </c:barChart>
      <c:catAx>
        <c:axId val="104280832"/>
        <c:scaling>
          <c:orientation val="minMax"/>
        </c:scaling>
        <c:delete val="0"/>
        <c:axPos val="b"/>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04282368"/>
        <c:crossesAt val="0"/>
        <c:auto val="1"/>
        <c:lblAlgn val="ctr"/>
        <c:lblOffset val="100"/>
        <c:tickLblSkip val="1"/>
        <c:tickMarkSkip val="1"/>
        <c:noMultiLvlLbl val="0"/>
      </c:catAx>
      <c:valAx>
        <c:axId val="104282368"/>
        <c:scaling>
          <c:orientation val="minMax"/>
        </c:scaling>
        <c:delete val="0"/>
        <c:axPos val="l"/>
        <c:majorGridlines>
          <c:spPr>
            <a:ln w="3175">
              <a:solidFill>
                <a:srgbClr val="808080"/>
              </a:solidFill>
              <a:prstDash val="solid"/>
            </a:ln>
          </c:spPr>
        </c:majorGridlines>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04280832"/>
        <c:crossesAt val="1"/>
        <c:crossBetween val="between"/>
      </c:valAx>
      <c:spPr>
        <a:solidFill>
          <a:srgbClr val="FFFFFF"/>
        </a:solidFill>
        <a:ln w="25400">
          <a:noFill/>
        </a:ln>
      </c:spPr>
    </c:plotArea>
    <c:legend>
      <c:legendPos val="r"/>
      <c:overlay val="0"/>
      <c:spPr>
        <a:noFill/>
        <a:ln w="25400">
          <a:noFill/>
        </a:ln>
      </c:spPr>
      <c:txPr>
        <a:bodyPr/>
        <a:lstStyle/>
        <a:p>
          <a:pPr>
            <a:defRPr sz="775" b="0" i="0" u="none" strike="noStrike" baseline="0">
              <a:solidFill>
                <a:srgbClr val="000000"/>
              </a:solidFill>
              <a:latin typeface="Calibri"/>
              <a:ea typeface="Calibri"/>
              <a:cs typeface="Calibri"/>
            </a:defRPr>
          </a:pPr>
          <a:endParaRPr lang="es-MX"/>
        </a:p>
      </c:txPr>
    </c:legend>
    <c:plotVisOnly val="1"/>
    <c:dispBlanksAs val="gap"/>
    <c:showDLblsOverMax val="0"/>
  </c:chart>
  <c:spPr>
    <a:solidFill>
      <a:srgbClr val="FFFFFF"/>
    </a:solidFill>
    <a:ln w="3175">
      <a:solidFill>
        <a:srgbClr val="808080"/>
      </a:solidFill>
      <a:prstDash val="solid"/>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3. Unidad de análisis SIVISTRA – SISVESO</a:t>
            </a:r>
          </a:p>
        </c:rich>
      </c:tx>
      <c:overlay val="0"/>
    </c:title>
    <c:autoTitleDeleted val="0"/>
    <c:plotArea>
      <c:layout/>
      <c:barChart>
        <c:barDir val="col"/>
        <c:grouping val="clustered"/>
        <c:varyColors val="0"/>
        <c:ser>
          <c:idx val="0"/>
          <c:order val="0"/>
          <c:tx>
            <c:strRef>
              <c:f>Gráficas!$C$58</c:f>
              <c:strCache>
                <c:ptCount val="1"/>
                <c:pt idx="0">
                  <c:v>Metodología utilizada</c:v>
                </c:pt>
              </c:strCache>
            </c:strRef>
          </c:tx>
          <c:spPr>
            <a:gradFill rotWithShape="0">
              <a:gsLst>
                <a:gs pos="0">
                  <a:srgbClr val="333399"/>
                </a:gs>
                <a:gs pos="100000">
                  <a:srgbClr val="0066CC"/>
                </a:gs>
              </a:gsLst>
              <a:lin ang="16200000" scaled="1"/>
            </a:gradFill>
            <a:ln w="25400">
              <a:noFill/>
            </a:ln>
          </c:spPr>
          <c:invertIfNegative val="0"/>
          <c:cat>
            <c:numRef>
              <c:f>Gráficas!$B$59:$B$63</c:f>
              <c:numCache>
                <c:formatCode>General</c:formatCode>
                <c:ptCount val="5"/>
                <c:pt idx="0">
                  <c:v>5</c:v>
                </c:pt>
                <c:pt idx="1">
                  <c:v>4</c:v>
                </c:pt>
                <c:pt idx="2">
                  <c:v>3</c:v>
                </c:pt>
                <c:pt idx="3">
                  <c:v>2</c:v>
                </c:pt>
                <c:pt idx="4">
                  <c:v>1</c:v>
                </c:pt>
              </c:numCache>
            </c:numRef>
          </c:cat>
          <c:val>
            <c:numRef>
              <c:f>Gráficas!$C$59:$C$63</c:f>
              <c:numCache>
                <c:formatCode>General</c:formatCode>
                <c:ptCount val="5"/>
                <c:pt idx="0">
                  <c:v>16</c:v>
                </c:pt>
                <c:pt idx="1">
                  <c:v>19</c:v>
                </c:pt>
                <c:pt idx="2">
                  <c:v>0</c:v>
                </c:pt>
                <c:pt idx="3">
                  <c:v>0</c:v>
                </c:pt>
                <c:pt idx="4">
                  <c:v>0</c:v>
                </c:pt>
              </c:numCache>
            </c:numRef>
          </c:val>
        </c:ser>
        <c:ser>
          <c:idx val="1"/>
          <c:order val="1"/>
          <c:tx>
            <c:strRef>
              <c:f>Gráficas!$D$58</c:f>
              <c:strCache>
                <c:ptCount val="1"/>
                <c:pt idx="0">
                  <c:v>Grado de motivación del relator </c:v>
                </c:pt>
              </c:strCache>
            </c:strRef>
          </c:tx>
          <c:spPr>
            <a:gradFill rotWithShape="0">
              <a:gsLst>
                <a:gs pos="0">
                  <a:srgbClr val="993300"/>
                </a:gs>
                <a:gs pos="100000">
                  <a:srgbClr val="993366"/>
                </a:gs>
              </a:gsLst>
              <a:lin ang="16200000" scaled="1"/>
            </a:gradFill>
            <a:ln w="25400">
              <a:noFill/>
            </a:ln>
          </c:spPr>
          <c:invertIfNegative val="0"/>
          <c:cat>
            <c:numRef>
              <c:f>Gráficas!$B$59:$B$63</c:f>
              <c:numCache>
                <c:formatCode>General</c:formatCode>
                <c:ptCount val="5"/>
                <c:pt idx="0">
                  <c:v>5</c:v>
                </c:pt>
                <c:pt idx="1">
                  <c:v>4</c:v>
                </c:pt>
                <c:pt idx="2">
                  <c:v>3</c:v>
                </c:pt>
                <c:pt idx="3">
                  <c:v>2</c:v>
                </c:pt>
                <c:pt idx="4">
                  <c:v>1</c:v>
                </c:pt>
              </c:numCache>
            </c:numRef>
          </c:cat>
          <c:val>
            <c:numRef>
              <c:f>Gráficas!$D$59:$D$63</c:f>
              <c:numCache>
                <c:formatCode>General</c:formatCode>
                <c:ptCount val="5"/>
                <c:pt idx="0">
                  <c:v>17</c:v>
                </c:pt>
                <c:pt idx="1">
                  <c:v>16</c:v>
                </c:pt>
                <c:pt idx="2">
                  <c:v>2</c:v>
                </c:pt>
                <c:pt idx="3">
                  <c:v>0</c:v>
                </c:pt>
                <c:pt idx="4">
                  <c:v>0</c:v>
                </c:pt>
              </c:numCache>
            </c:numRef>
          </c:val>
        </c:ser>
        <c:ser>
          <c:idx val="2"/>
          <c:order val="2"/>
          <c:tx>
            <c:strRef>
              <c:f>Gráficas!$E$58</c:f>
              <c:strCache>
                <c:ptCount val="1"/>
                <c:pt idx="0">
                  <c:v>Calidad y claridad de la exposición</c:v>
                </c:pt>
              </c:strCache>
            </c:strRef>
          </c:tx>
          <c:spPr>
            <a:gradFill rotWithShape="0">
              <a:gsLst>
                <a:gs pos="0">
                  <a:srgbClr val="808000"/>
                </a:gs>
                <a:gs pos="100000">
                  <a:srgbClr val="99CC00"/>
                </a:gs>
              </a:gsLst>
              <a:lin ang="16200000" scaled="1"/>
            </a:gradFill>
            <a:ln w="25400">
              <a:noFill/>
            </a:ln>
          </c:spPr>
          <c:invertIfNegative val="0"/>
          <c:cat>
            <c:numRef>
              <c:f>Gráficas!$B$59:$B$63</c:f>
              <c:numCache>
                <c:formatCode>General</c:formatCode>
                <c:ptCount val="5"/>
                <c:pt idx="0">
                  <c:v>5</c:v>
                </c:pt>
                <c:pt idx="1">
                  <c:v>4</c:v>
                </c:pt>
                <c:pt idx="2">
                  <c:v>3</c:v>
                </c:pt>
                <c:pt idx="3">
                  <c:v>2</c:v>
                </c:pt>
                <c:pt idx="4">
                  <c:v>1</c:v>
                </c:pt>
              </c:numCache>
            </c:numRef>
          </c:cat>
          <c:val>
            <c:numRef>
              <c:f>Gráficas!$E$59:$E$63</c:f>
              <c:numCache>
                <c:formatCode>General</c:formatCode>
                <c:ptCount val="5"/>
                <c:pt idx="0">
                  <c:v>15</c:v>
                </c:pt>
                <c:pt idx="1">
                  <c:v>19</c:v>
                </c:pt>
                <c:pt idx="2">
                  <c:v>0</c:v>
                </c:pt>
                <c:pt idx="3">
                  <c:v>0</c:v>
                </c:pt>
                <c:pt idx="4">
                  <c:v>0</c:v>
                </c:pt>
              </c:numCache>
            </c:numRef>
          </c:val>
        </c:ser>
        <c:ser>
          <c:idx val="3"/>
          <c:order val="3"/>
          <c:tx>
            <c:strRef>
              <c:f>Gráficas!$F$58</c:f>
              <c:strCache>
                <c:ptCount val="1"/>
                <c:pt idx="0">
                  <c:v>Calidad y claridad de los ejemplos entregados (si aplica)</c:v>
                </c:pt>
              </c:strCache>
            </c:strRef>
          </c:tx>
          <c:spPr>
            <a:gradFill rotWithShape="0">
              <a:gsLst>
                <a:gs pos="0">
                  <a:srgbClr val="666699"/>
                </a:gs>
                <a:gs pos="100000">
                  <a:srgbClr val="666699"/>
                </a:gs>
              </a:gsLst>
              <a:lin ang="16200000" scaled="1"/>
            </a:gradFill>
            <a:ln w="25400">
              <a:noFill/>
            </a:ln>
          </c:spPr>
          <c:invertIfNegative val="0"/>
          <c:cat>
            <c:numRef>
              <c:f>Gráficas!$B$59:$B$63</c:f>
              <c:numCache>
                <c:formatCode>General</c:formatCode>
                <c:ptCount val="5"/>
                <c:pt idx="0">
                  <c:v>5</c:v>
                </c:pt>
                <c:pt idx="1">
                  <c:v>4</c:v>
                </c:pt>
                <c:pt idx="2">
                  <c:v>3</c:v>
                </c:pt>
                <c:pt idx="3">
                  <c:v>2</c:v>
                </c:pt>
                <c:pt idx="4">
                  <c:v>1</c:v>
                </c:pt>
              </c:numCache>
            </c:numRef>
          </c:cat>
          <c:val>
            <c:numRef>
              <c:f>Gráficas!$F$59:$F$63</c:f>
              <c:numCache>
                <c:formatCode>General</c:formatCode>
                <c:ptCount val="5"/>
                <c:pt idx="0">
                  <c:v>15</c:v>
                </c:pt>
                <c:pt idx="1">
                  <c:v>19</c:v>
                </c:pt>
                <c:pt idx="2">
                  <c:v>0</c:v>
                </c:pt>
                <c:pt idx="3">
                  <c:v>0</c:v>
                </c:pt>
                <c:pt idx="4">
                  <c:v>0</c:v>
                </c:pt>
              </c:numCache>
            </c:numRef>
          </c:val>
        </c:ser>
        <c:ser>
          <c:idx val="4"/>
          <c:order val="4"/>
          <c:tx>
            <c:strRef>
              <c:f>Gráficas!$G$58</c:f>
              <c:strCache>
                <c:ptCount val="1"/>
                <c:pt idx="0">
                  <c:v>Calidad del material  entregado</c:v>
                </c:pt>
              </c:strCache>
            </c:strRef>
          </c:tx>
          <c:spPr>
            <a:gradFill rotWithShape="0">
              <a:gsLst>
                <a:gs pos="0">
                  <a:srgbClr val="008080"/>
                </a:gs>
                <a:gs pos="100000">
                  <a:srgbClr val="33CCCC"/>
                </a:gs>
              </a:gsLst>
              <a:lin ang="16200000" scaled="1"/>
            </a:gradFill>
            <a:ln w="25400">
              <a:noFill/>
            </a:ln>
          </c:spPr>
          <c:invertIfNegative val="0"/>
          <c:cat>
            <c:numRef>
              <c:f>Gráficas!$B$59:$B$63</c:f>
              <c:numCache>
                <c:formatCode>General</c:formatCode>
                <c:ptCount val="5"/>
                <c:pt idx="0">
                  <c:v>5</c:v>
                </c:pt>
                <c:pt idx="1">
                  <c:v>4</c:v>
                </c:pt>
                <c:pt idx="2">
                  <c:v>3</c:v>
                </c:pt>
                <c:pt idx="3">
                  <c:v>2</c:v>
                </c:pt>
                <c:pt idx="4">
                  <c:v>1</c:v>
                </c:pt>
              </c:numCache>
            </c:numRef>
          </c:cat>
          <c:val>
            <c:numRef>
              <c:f>Gráficas!$G$59:$G$63</c:f>
              <c:numCache>
                <c:formatCode>General</c:formatCode>
                <c:ptCount val="5"/>
                <c:pt idx="0">
                  <c:v>12</c:v>
                </c:pt>
                <c:pt idx="1">
                  <c:v>18</c:v>
                </c:pt>
                <c:pt idx="2">
                  <c:v>0</c:v>
                </c:pt>
                <c:pt idx="3">
                  <c:v>0</c:v>
                </c:pt>
                <c:pt idx="4">
                  <c:v>0</c:v>
                </c:pt>
              </c:numCache>
            </c:numRef>
          </c:val>
        </c:ser>
        <c:dLbls>
          <c:showLegendKey val="0"/>
          <c:showVal val="0"/>
          <c:showCatName val="0"/>
          <c:showSerName val="0"/>
          <c:showPercent val="0"/>
          <c:showBubbleSize val="0"/>
        </c:dLbls>
        <c:gapWidth val="150"/>
        <c:axId val="104302080"/>
        <c:axId val="104303616"/>
      </c:barChart>
      <c:catAx>
        <c:axId val="104302080"/>
        <c:scaling>
          <c:orientation val="minMax"/>
        </c:scaling>
        <c:delete val="0"/>
        <c:axPos val="b"/>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04303616"/>
        <c:crossesAt val="0"/>
        <c:auto val="1"/>
        <c:lblAlgn val="ctr"/>
        <c:lblOffset val="100"/>
        <c:tickLblSkip val="1"/>
        <c:tickMarkSkip val="1"/>
        <c:noMultiLvlLbl val="0"/>
      </c:catAx>
      <c:valAx>
        <c:axId val="104303616"/>
        <c:scaling>
          <c:orientation val="minMax"/>
        </c:scaling>
        <c:delete val="0"/>
        <c:axPos val="l"/>
        <c:majorGridlines>
          <c:spPr>
            <a:ln w="3175">
              <a:solidFill>
                <a:srgbClr val="808080"/>
              </a:solidFill>
              <a:prstDash val="solid"/>
            </a:ln>
          </c:spPr>
        </c:majorGridlines>
        <c:numFmt formatCode="General" sourceLinked="1"/>
        <c:majorTickMark val="none"/>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s-MX"/>
          </a:p>
        </c:txPr>
        <c:crossAx val="104302080"/>
        <c:crossesAt val="1"/>
        <c:crossBetween val="between"/>
      </c:valAx>
      <c:spPr>
        <a:solidFill>
          <a:srgbClr val="FFFFFF"/>
        </a:solidFill>
        <a:ln w="25400">
          <a:noFill/>
        </a:ln>
      </c:spPr>
    </c:plotArea>
    <c:legend>
      <c:legendPos val="r"/>
      <c:overlay val="0"/>
      <c:spPr>
        <a:noFill/>
        <a:ln w="25400">
          <a:noFill/>
        </a:ln>
      </c:spPr>
      <c:txPr>
        <a:bodyPr/>
        <a:lstStyle/>
        <a:p>
          <a:pPr>
            <a:defRPr sz="775" b="0" i="0" u="none" strike="noStrike" baseline="0">
              <a:solidFill>
                <a:srgbClr val="000000"/>
              </a:solidFill>
              <a:latin typeface="Calibri"/>
              <a:ea typeface="Calibri"/>
              <a:cs typeface="Calibri"/>
            </a:defRPr>
          </a:pPr>
          <a:endParaRPr lang="es-MX"/>
        </a:p>
      </c:txPr>
    </c:legend>
    <c:plotVisOnly val="1"/>
    <c:dispBlanksAs val="gap"/>
    <c:showDLblsOverMax val="0"/>
  </c:chart>
  <c:spPr>
    <a:solidFill>
      <a:srgbClr val="FFFFFF"/>
    </a:solidFill>
    <a:ln w="3175">
      <a:solidFill>
        <a:srgbClr val="808080"/>
      </a:solidFill>
      <a:prstDash val="solid"/>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4. SOCIALIZACION ALERTAS EPIDEMIOLOGICAS</a:t>
            </a:r>
          </a:p>
        </c:rich>
      </c:tx>
      <c:overlay val="0"/>
    </c:title>
    <c:autoTitleDeleted val="0"/>
    <c:plotArea>
      <c:layout/>
      <c:barChart>
        <c:barDir val="col"/>
        <c:grouping val="clustered"/>
        <c:varyColors val="0"/>
        <c:ser>
          <c:idx val="0"/>
          <c:order val="0"/>
          <c:tx>
            <c:strRef>
              <c:f>Gráficas!$C$72</c:f>
              <c:strCache>
                <c:ptCount val="1"/>
                <c:pt idx="0">
                  <c:v>Metodología utilizada</c:v>
                </c:pt>
              </c:strCache>
            </c:strRef>
          </c:tx>
          <c:spPr>
            <a:solidFill>
              <a:srgbClr val="004586"/>
            </a:solidFill>
            <a:ln w="25400">
              <a:noFill/>
            </a:ln>
          </c:spPr>
          <c:invertIfNegative val="0"/>
          <c:cat>
            <c:numRef>
              <c:f>Gráficas!$B$73:$B$77</c:f>
              <c:numCache>
                <c:formatCode>General</c:formatCode>
                <c:ptCount val="5"/>
                <c:pt idx="0">
                  <c:v>5</c:v>
                </c:pt>
                <c:pt idx="1">
                  <c:v>4</c:v>
                </c:pt>
                <c:pt idx="2">
                  <c:v>3</c:v>
                </c:pt>
                <c:pt idx="3">
                  <c:v>2</c:v>
                </c:pt>
                <c:pt idx="4">
                  <c:v>1</c:v>
                </c:pt>
              </c:numCache>
            </c:numRef>
          </c:cat>
          <c:val>
            <c:numRef>
              <c:f>Gráficas!$C$73:$C$77</c:f>
              <c:numCache>
                <c:formatCode>General</c:formatCode>
                <c:ptCount val="5"/>
                <c:pt idx="0">
                  <c:v>9</c:v>
                </c:pt>
                <c:pt idx="1">
                  <c:v>22</c:v>
                </c:pt>
                <c:pt idx="2">
                  <c:v>3</c:v>
                </c:pt>
                <c:pt idx="3">
                  <c:v>0</c:v>
                </c:pt>
                <c:pt idx="4">
                  <c:v>0</c:v>
                </c:pt>
              </c:numCache>
            </c:numRef>
          </c:val>
        </c:ser>
        <c:ser>
          <c:idx val="1"/>
          <c:order val="1"/>
          <c:tx>
            <c:strRef>
              <c:f>Gráficas!$D$72</c:f>
              <c:strCache>
                <c:ptCount val="1"/>
                <c:pt idx="0">
                  <c:v>Grado de motivación del relator </c:v>
                </c:pt>
              </c:strCache>
            </c:strRef>
          </c:tx>
          <c:spPr>
            <a:solidFill>
              <a:srgbClr val="FF420E"/>
            </a:solidFill>
            <a:ln w="25400">
              <a:noFill/>
            </a:ln>
          </c:spPr>
          <c:invertIfNegative val="0"/>
          <c:cat>
            <c:numRef>
              <c:f>Gráficas!$B$73:$B$77</c:f>
              <c:numCache>
                <c:formatCode>General</c:formatCode>
                <c:ptCount val="5"/>
                <c:pt idx="0">
                  <c:v>5</c:v>
                </c:pt>
                <c:pt idx="1">
                  <c:v>4</c:v>
                </c:pt>
                <c:pt idx="2">
                  <c:v>3</c:v>
                </c:pt>
                <c:pt idx="3">
                  <c:v>2</c:v>
                </c:pt>
                <c:pt idx="4">
                  <c:v>1</c:v>
                </c:pt>
              </c:numCache>
            </c:numRef>
          </c:cat>
          <c:val>
            <c:numRef>
              <c:f>Gráficas!$D$73:$D$77</c:f>
              <c:numCache>
                <c:formatCode>General</c:formatCode>
                <c:ptCount val="5"/>
                <c:pt idx="0">
                  <c:v>12</c:v>
                </c:pt>
                <c:pt idx="1">
                  <c:v>19</c:v>
                </c:pt>
                <c:pt idx="2">
                  <c:v>4</c:v>
                </c:pt>
                <c:pt idx="3">
                  <c:v>0</c:v>
                </c:pt>
                <c:pt idx="4">
                  <c:v>0</c:v>
                </c:pt>
              </c:numCache>
            </c:numRef>
          </c:val>
        </c:ser>
        <c:ser>
          <c:idx val="2"/>
          <c:order val="2"/>
          <c:tx>
            <c:strRef>
              <c:f>Gráficas!$E$72</c:f>
              <c:strCache>
                <c:ptCount val="1"/>
                <c:pt idx="0">
                  <c:v>Calidad y claridad de la exposición</c:v>
                </c:pt>
              </c:strCache>
            </c:strRef>
          </c:tx>
          <c:spPr>
            <a:solidFill>
              <a:srgbClr val="FFD320"/>
            </a:solidFill>
            <a:ln w="25400">
              <a:noFill/>
            </a:ln>
          </c:spPr>
          <c:invertIfNegative val="0"/>
          <c:cat>
            <c:numRef>
              <c:f>Gráficas!$B$73:$B$77</c:f>
              <c:numCache>
                <c:formatCode>General</c:formatCode>
                <c:ptCount val="5"/>
                <c:pt idx="0">
                  <c:v>5</c:v>
                </c:pt>
                <c:pt idx="1">
                  <c:v>4</c:v>
                </c:pt>
                <c:pt idx="2">
                  <c:v>3</c:v>
                </c:pt>
                <c:pt idx="3">
                  <c:v>2</c:v>
                </c:pt>
                <c:pt idx="4">
                  <c:v>1</c:v>
                </c:pt>
              </c:numCache>
            </c:numRef>
          </c:cat>
          <c:val>
            <c:numRef>
              <c:f>Gráficas!$E$73:$E$77</c:f>
              <c:numCache>
                <c:formatCode>General</c:formatCode>
                <c:ptCount val="5"/>
                <c:pt idx="0">
                  <c:v>9</c:v>
                </c:pt>
                <c:pt idx="1">
                  <c:v>21</c:v>
                </c:pt>
                <c:pt idx="2">
                  <c:v>3</c:v>
                </c:pt>
                <c:pt idx="3">
                  <c:v>0</c:v>
                </c:pt>
                <c:pt idx="4">
                  <c:v>0</c:v>
                </c:pt>
              </c:numCache>
            </c:numRef>
          </c:val>
        </c:ser>
        <c:ser>
          <c:idx val="3"/>
          <c:order val="3"/>
          <c:tx>
            <c:strRef>
              <c:f>Gráficas!$F$72</c:f>
              <c:strCache>
                <c:ptCount val="1"/>
                <c:pt idx="0">
                  <c:v>Calidad y claridad de los ejemplos entregados (si aplica)</c:v>
                </c:pt>
              </c:strCache>
            </c:strRef>
          </c:tx>
          <c:spPr>
            <a:solidFill>
              <a:srgbClr val="579D1C"/>
            </a:solidFill>
            <a:ln w="25400">
              <a:noFill/>
            </a:ln>
          </c:spPr>
          <c:invertIfNegative val="0"/>
          <c:cat>
            <c:numRef>
              <c:f>Gráficas!$B$73:$B$77</c:f>
              <c:numCache>
                <c:formatCode>General</c:formatCode>
                <c:ptCount val="5"/>
                <c:pt idx="0">
                  <c:v>5</c:v>
                </c:pt>
                <c:pt idx="1">
                  <c:v>4</c:v>
                </c:pt>
                <c:pt idx="2">
                  <c:v>3</c:v>
                </c:pt>
                <c:pt idx="3">
                  <c:v>2</c:v>
                </c:pt>
                <c:pt idx="4">
                  <c:v>1</c:v>
                </c:pt>
              </c:numCache>
            </c:numRef>
          </c:cat>
          <c:val>
            <c:numRef>
              <c:f>Gráficas!$F$73:$F$77</c:f>
              <c:numCache>
                <c:formatCode>General</c:formatCode>
                <c:ptCount val="5"/>
                <c:pt idx="0">
                  <c:v>9</c:v>
                </c:pt>
                <c:pt idx="1">
                  <c:v>21</c:v>
                </c:pt>
                <c:pt idx="2">
                  <c:v>3</c:v>
                </c:pt>
                <c:pt idx="3">
                  <c:v>0</c:v>
                </c:pt>
                <c:pt idx="4">
                  <c:v>0</c:v>
                </c:pt>
              </c:numCache>
            </c:numRef>
          </c:val>
        </c:ser>
        <c:ser>
          <c:idx val="4"/>
          <c:order val="4"/>
          <c:tx>
            <c:strRef>
              <c:f>Gráficas!$G$72</c:f>
              <c:strCache>
                <c:ptCount val="1"/>
                <c:pt idx="0">
                  <c:v>Calidad del material  entregado</c:v>
                </c:pt>
              </c:strCache>
            </c:strRef>
          </c:tx>
          <c:spPr>
            <a:solidFill>
              <a:srgbClr val="7E0021"/>
            </a:solidFill>
            <a:ln w="25400">
              <a:noFill/>
            </a:ln>
          </c:spPr>
          <c:invertIfNegative val="0"/>
          <c:cat>
            <c:numRef>
              <c:f>Gráficas!$B$73:$B$77</c:f>
              <c:numCache>
                <c:formatCode>General</c:formatCode>
                <c:ptCount val="5"/>
                <c:pt idx="0">
                  <c:v>5</c:v>
                </c:pt>
                <c:pt idx="1">
                  <c:v>4</c:v>
                </c:pt>
                <c:pt idx="2">
                  <c:v>3</c:v>
                </c:pt>
                <c:pt idx="3">
                  <c:v>2</c:v>
                </c:pt>
                <c:pt idx="4">
                  <c:v>1</c:v>
                </c:pt>
              </c:numCache>
            </c:numRef>
          </c:cat>
          <c:val>
            <c:numRef>
              <c:f>Gráficas!$G$73:$G$77</c:f>
              <c:numCache>
                <c:formatCode>General</c:formatCode>
                <c:ptCount val="5"/>
                <c:pt idx="0">
                  <c:v>5</c:v>
                </c:pt>
                <c:pt idx="1">
                  <c:v>20</c:v>
                </c:pt>
                <c:pt idx="2">
                  <c:v>3</c:v>
                </c:pt>
                <c:pt idx="3">
                  <c:v>0</c:v>
                </c:pt>
                <c:pt idx="4">
                  <c:v>0</c:v>
                </c:pt>
              </c:numCache>
            </c:numRef>
          </c:val>
        </c:ser>
        <c:dLbls>
          <c:showLegendKey val="0"/>
          <c:showVal val="0"/>
          <c:showCatName val="0"/>
          <c:showSerName val="0"/>
          <c:showPercent val="0"/>
          <c:showBubbleSize val="0"/>
        </c:dLbls>
        <c:gapWidth val="150"/>
        <c:axId val="104315136"/>
        <c:axId val="104316928"/>
      </c:barChart>
      <c:catAx>
        <c:axId val="104315136"/>
        <c:scaling>
          <c:orientation val="minMax"/>
        </c:scaling>
        <c:delete val="0"/>
        <c:axPos val="b"/>
        <c:numFmt formatCode="General" sourceLinked="1"/>
        <c:majorTickMark val="none"/>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04316928"/>
        <c:crossesAt val="0"/>
        <c:auto val="1"/>
        <c:lblAlgn val="ctr"/>
        <c:lblOffset val="100"/>
        <c:tickLblSkip val="1"/>
        <c:tickMarkSkip val="1"/>
        <c:noMultiLvlLbl val="0"/>
      </c:catAx>
      <c:valAx>
        <c:axId val="104316928"/>
        <c:scaling>
          <c:orientation val="minMax"/>
        </c:scaling>
        <c:delete val="0"/>
        <c:axPos val="l"/>
        <c:majorGridlines>
          <c:spPr>
            <a:ln w="3175">
              <a:solidFill>
                <a:srgbClr val="B3B3B3"/>
              </a:solidFill>
              <a:prstDash val="solid"/>
            </a:ln>
          </c:spPr>
        </c:majorGridlines>
        <c:numFmt formatCode="General" sourceLinked="1"/>
        <c:majorTickMark val="none"/>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04315136"/>
        <c:crossesAt val="1"/>
        <c:crossBetween val="between"/>
      </c:valAx>
      <c:spPr>
        <a:noFill/>
        <a:ln w="3175">
          <a:solidFill>
            <a:srgbClr val="B3B3B3"/>
          </a:solidFill>
          <a:prstDash val="solid"/>
        </a:ln>
      </c:spPr>
    </c:plotArea>
    <c:legend>
      <c:legendPos val="r"/>
      <c:overlay val="0"/>
      <c:spPr>
        <a:noFill/>
        <a:ln w="25400">
          <a:noFill/>
        </a:ln>
      </c:spPr>
      <c:txPr>
        <a:bodyPr/>
        <a:lstStyle/>
        <a:p>
          <a:pPr>
            <a:defRPr sz="775" b="0" i="0" u="none" strike="noStrike" baseline="0">
              <a:solidFill>
                <a:srgbClr val="000000"/>
              </a:solidFill>
              <a:latin typeface="Arial"/>
              <a:ea typeface="Arial"/>
              <a:cs typeface="Arial"/>
            </a:defRPr>
          </a:pPr>
          <a:endParaRPr lang="es-MX"/>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5. Tableros de control SIVIGILA </a:t>
            </a:r>
          </a:p>
        </c:rich>
      </c:tx>
      <c:overlay val="0"/>
    </c:title>
    <c:autoTitleDeleted val="0"/>
    <c:plotArea>
      <c:layout/>
      <c:barChart>
        <c:barDir val="col"/>
        <c:grouping val="clustered"/>
        <c:varyColors val="0"/>
        <c:ser>
          <c:idx val="0"/>
          <c:order val="0"/>
          <c:tx>
            <c:strRef>
              <c:f>Gráficas!$B$86</c:f>
              <c:strCache>
                <c:ptCount val="1"/>
                <c:pt idx="0">
                  <c:v>Equivalencia</c:v>
                </c:pt>
              </c:strCache>
            </c:strRef>
          </c:tx>
          <c:spPr>
            <a:solidFill>
              <a:srgbClr val="004586"/>
            </a:solidFill>
            <a:ln w="25400">
              <a:noFill/>
            </a:ln>
          </c:spPr>
          <c:invertIfNegative val="0"/>
          <c:val>
            <c:numRef>
              <c:f>Gráficas!$B$87:$B$91</c:f>
              <c:numCache>
                <c:formatCode>General</c:formatCode>
                <c:ptCount val="5"/>
                <c:pt idx="0">
                  <c:v>5</c:v>
                </c:pt>
                <c:pt idx="1">
                  <c:v>4</c:v>
                </c:pt>
                <c:pt idx="2">
                  <c:v>3</c:v>
                </c:pt>
                <c:pt idx="3">
                  <c:v>2</c:v>
                </c:pt>
                <c:pt idx="4">
                  <c:v>1</c:v>
                </c:pt>
              </c:numCache>
            </c:numRef>
          </c:val>
        </c:ser>
        <c:ser>
          <c:idx val="1"/>
          <c:order val="1"/>
          <c:tx>
            <c:strRef>
              <c:f>Gráficas!$C$86</c:f>
              <c:strCache>
                <c:ptCount val="1"/>
                <c:pt idx="0">
                  <c:v>Metodología utilizada</c:v>
                </c:pt>
              </c:strCache>
            </c:strRef>
          </c:tx>
          <c:spPr>
            <a:solidFill>
              <a:srgbClr val="FF420E"/>
            </a:solidFill>
            <a:ln w="25400">
              <a:noFill/>
            </a:ln>
          </c:spPr>
          <c:invertIfNegative val="0"/>
          <c:val>
            <c:numRef>
              <c:f>Gráficas!$C$87:$C$91</c:f>
              <c:numCache>
                <c:formatCode>General</c:formatCode>
                <c:ptCount val="5"/>
                <c:pt idx="0">
                  <c:v>11</c:v>
                </c:pt>
                <c:pt idx="1">
                  <c:v>16</c:v>
                </c:pt>
                <c:pt idx="2">
                  <c:v>1</c:v>
                </c:pt>
                <c:pt idx="3">
                  <c:v>1</c:v>
                </c:pt>
                <c:pt idx="4">
                  <c:v>0</c:v>
                </c:pt>
              </c:numCache>
            </c:numRef>
          </c:val>
        </c:ser>
        <c:ser>
          <c:idx val="2"/>
          <c:order val="2"/>
          <c:tx>
            <c:strRef>
              <c:f>Gráficas!$D$86</c:f>
              <c:strCache>
                <c:ptCount val="1"/>
                <c:pt idx="0">
                  <c:v>Grado de motivación del relator </c:v>
                </c:pt>
              </c:strCache>
            </c:strRef>
          </c:tx>
          <c:spPr>
            <a:solidFill>
              <a:srgbClr val="FFD320"/>
            </a:solidFill>
            <a:ln w="25400">
              <a:noFill/>
            </a:ln>
          </c:spPr>
          <c:invertIfNegative val="0"/>
          <c:val>
            <c:numRef>
              <c:f>Gráficas!$D$87:$D$91</c:f>
              <c:numCache>
                <c:formatCode>General</c:formatCode>
                <c:ptCount val="5"/>
                <c:pt idx="0">
                  <c:v>11</c:v>
                </c:pt>
                <c:pt idx="1">
                  <c:v>16</c:v>
                </c:pt>
                <c:pt idx="2">
                  <c:v>2</c:v>
                </c:pt>
                <c:pt idx="3">
                  <c:v>1</c:v>
                </c:pt>
                <c:pt idx="4">
                  <c:v>0</c:v>
                </c:pt>
              </c:numCache>
            </c:numRef>
          </c:val>
        </c:ser>
        <c:ser>
          <c:idx val="3"/>
          <c:order val="3"/>
          <c:tx>
            <c:strRef>
              <c:f>Gráficas!$E$86</c:f>
              <c:strCache>
                <c:ptCount val="1"/>
                <c:pt idx="0">
                  <c:v>Calidad y claridad de la exposición</c:v>
                </c:pt>
              </c:strCache>
            </c:strRef>
          </c:tx>
          <c:spPr>
            <a:solidFill>
              <a:srgbClr val="579D1C"/>
            </a:solidFill>
            <a:ln w="25400">
              <a:noFill/>
            </a:ln>
          </c:spPr>
          <c:invertIfNegative val="0"/>
          <c:val>
            <c:numRef>
              <c:f>Gráficas!$E$87:$E$91</c:f>
              <c:numCache>
                <c:formatCode>General</c:formatCode>
                <c:ptCount val="5"/>
                <c:pt idx="0">
                  <c:v>10</c:v>
                </c:pt>
                <c:pt idx="1">
                  <c:v>17</c:v>
                </c:pt>
                <c:pt idx="2">
                  <c:v>0</c:v>
                </c:pt>
                <c:pt idx="3">
                  <c:v>1</c:v>
                </c:pt>
                <c:pt idx="4">
                  <c:v>0</c:v>
                </c:pt>
              </c:numCache>
            </c:numRef>
          </c:val>
        </c:ser>
        <c:ser>
          <c:idx val="4"/>
          <c:order val="4"/>
          <c:tx>
            <c:strRef>
              <c:f>Gráficas!$F$86</c:f>
              <c:strCache>
                <c:ptCount val="1"/>
                <c:pt idx="0">
                  <c:v>Calidad y claridad de los ejemplos entregados (si aplica)</c:v>
                </c:pt>
              </c:strCache>
            </c:strRef>
          </c:tx>
          <c:spPr>
            <a:solidFill>
              <a:srgbClr val="7E0021"/>
            </a:solidFill>
            <a:ln w="25400">
              <a:noFill/>
            </a:ln>
          </c:spPr>
          <c:invertIfNegative val="0"/>
          <c:val>
            <c:numRef>
              <c:f>Gráficas!$F$87:$F$91</c:f>
              <c:numCache>
                <c:formatCode>General</c:formatCode>
                <c:ptCount val="5"/>
                <c:pt idx="0">
                  <c:v>10</c:v>
                </c:pt>
                <c:pt idx="1">
                  <c:v>17</c:v>
                </c:pt>
                <c:pt idx="2">
                  <c:v>0</c:v>
                </c:pt>
                <c:pt idx="3">
                  <c:v>1</c:v>
                </c:pt>
                <c:pt idx="4">
                  <c:v>0</c:v>
                </c:pt>
              </c:numCache>
            </c:numRef>
          </c:val>
        </c:ser>
        <c:ser>
          <c:idx val="5"/>
          <c:order val="5"/>
          <c:tx>
            <c:strRef>
              <c:f>Gráficas!$G$86</c:f>
              <c:strCache>
                <c:ptCount val="1"/>
                <c:pt idx="0">
                  <c:v>Calidad del material  entregado</c:v>
                </c:pt>
              </c:strCache>
            </c:strRef>
          </c:tx>
          <c:spPr>
            <a:solidFill>
              <a:srgbClr val="83CAFF"/>
            </a:solidFill>
            <a:ln w="25400">
              <a:noFill/>
            </a:ln>
          </c:spPr>
          <c:invertIfNegative val="0"/>
          <c:val>
            <c:numRef>
              <c:f>Gráficas!$G$87:$G$91</c:f>
              <c:numCache>
                <c:formatCode>General</c:formatCode>
                <c:ptCount val="5"/>
                <c:pt idx="0">
                  <c:v>7</c:v>
                </c:pt>
                <c:pt idx="1">
                  <c:v>16</c:v>
                </c:pt>
                <c:pt idx="2">
                  <c:v>0</c:v>
                </c:pt>
                <c:pt idx="3">
                  <c:v>1</c:v>
                </c:pt>
                <c:pt idx="4">
                  <c:v>0</c:v>
                </c:pt>
              </c:numCache>
            </c:numRef>
          </c:val>
        </c:ser>
        <c:dLbls>
          <c:showLegendKey val="0"/>
          <c:showVal val="0"/>
          <c:showCatName val="0"/>
          <c:showSerName val="0"/>
          <c:showPercent val="0"/>
          <c:showBubbleSize val="0"/>
        </c:dLbls>
        <c:gapWidth val="150"/>
        <c:axId val="104329216"/>
        <c:axId val="104330752"/>
      </c:barChart>
      <c:catAx>
        <c:axId val="104329216"/>
        <c:scaling>
          <c:orientation val="minMax"/>
        </c:scaling>
        <c:delete val="0"/>
        <c:axPos val="b"/>
        <c:numFmt formatCode="General" sourceLinked="1"/>
        <c:majorTickMark val="none"/>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04330752"/>
        <c:crossesAt val="0"/>
        <c:auto val="1"/>
        <c:lblAlgn val="ctr"/>
        <c:lblOffset val="100"/>
        <c:tickLblSkip val="1"/>
        <c:tickMarkSkip val="1"/>
        <c:noMultiLvlLbl val="0"/>
      </c:catAx>
      <c:valAx>
        <c:axId val="104330752"/>
        <c:scaling>
          <c:orientation val="minMax"/>
        </c:scaling>
        <c:delete val="0"/>
        <c:axPos val="l"/>
        <c:majorGridlines>
          <c:spPr>
            <a:ln w="3175">
              <a:solidFill>
                <a:srgbClr val="B3B3B3"/>
              </a:solidFill>
              <a:prstDash val="solid"/>
            </a:ln>
          </c:spPr>
        </c:majorGridlines>
        <c:numFmt formatCode="General" sourceLinked="1"/>
        <c:majorTickMark val="none"/>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04329216"/>
        <c:crossesAt val="1"/>
        <c:crossBetween val="between"/>
      </c:valAx>
      <c:spPr>
        <a:noFill/>
        <a:ln w="3175">
          <a:solidFill>
            <a:srgbClr val="B3B3B3"/>
          </a:solidFill>
          <a:prstDash val="solid"/>
        </a:ln>
      </c:spPr>
    </c:plotArea>
    <c:legend>
      <c:legendPos val="r"/>
      <c:overlay val="0"/>
      <c:spPr>
        <a:noFill/>
        <a:ln w="25400">
          <a:noFill/>
        </a:ln>
      </c:spPr>
      <c:txPr>
        <a:bodyPr/>
        <a:lstStyle/>
        <a:p>
          <a:pPr>
            <a:defRPr sz="775" b="0" i="0" u="none" strike="noStrike" baseline="0">
              <a:solidFill>
                <a:srgbClr val="000000"/>
              </a:solidFill>
              <a:latin typeface="Arial"/>
              <a:ea typeface="Arial"/>
              <a:cs typeface="Arial"/>
            </a:defRPr>
          </a:pPr>
          <a:endParaRPr lang="es-MX"/>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Calibri"/>
          <a:ea typeface="Calibri"/>
          <a:cs typeface="Calibri"/>
        </a:defRPr>
      </a:pPr>
      <a:endParaRPr lang="es-MX"/>
    </a:p>
  </c:txPr>
  <c:externalData r:id="rId1">
    <c:autoUpdate val="0"/>
  </c:externalData>
</c:chartSpace>
</file>

<file path=word/theme/theme1.xml><?xml version="1.0" encoding="utf-8"?>
<a:theme xmlns:a="http://schemas.openxmlformats.org/drawingml/2006/main" name="Tema de Office">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8194F-FE24-445D-8ED3-09690FAC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5681</Words>
  <Characters>31249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Hospital de Suba</cp:lastModifiedBy>
  <cp:revision>13</cp:revision>
  <cp:lastPrinted>2018-01-17T02:07:00Z</cp:lastPrinted>
  <dcterms:created xsi:type="dcterms:W3CDTF">2018-03-05T21:21:00Z</dcterms:created>
  <dcterms:modified xsi:type="dcterms:W3CDTF">2018-03-11T01:13:00Z</dcterms:modified>
</cp:coreProperties>
</file>